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AD52" w14:textId="77777777" w:rsidR="008C25A6" w:rsidRDefault="008C25A6">
      <w:bookmarkStart w:id="0" w:name="_GoBack"/>
      <w:bookmarkEnd w:id="0"/>
    </w:p>
    <w:p w14:paraId="1BC400D4" w14:textId="77777777" w:rsidR="00E24439" w:rsidRDefault="00E24439" w:rsidP="00E24439">
      <w:pPr>
        <w:jc w:val="center"/>
      </w:pPr>
      <w:r>
        <w:rPr>
          <w:noProof/>
        </w:rPr>
        <w:drawing>
          <wp:inline distT="0" distB="0" distL="0" distR="0" wp14:anchorId="5A7FBF9C" wp14:editId="71E6B52F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j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076EB" w14:textId="77777777" w:rsidR="00E24439" w:rsidRDefault="00E24439" w:rsidP="00E24439">
      <w:pPr>
        <w:jc w:val="center"/>
      </w:pPr>
    </w:p>
    <w:p w14:paraId="14BEEE2A" w14:textId="77777777" w:rsidR="00E24439" w:rsidRPr="008B3CDB" w:rsidRDefault="00E24439" w:rsidP="00E24439">
      <w:pPr>
        <w:jc w:val="center"/>
        <w:rPr>
          <w:b/>
          <w:sz w:val="40"/>
          <w:szCs w:val="40"/>
        </w:rPr>
      </w:pPr>
      <w:r w:rsidRPr="008B3CDB">
        <w:rPr>
          <w:b/>
          <w:sz w:val="40"/>
          <w:szCs w:val="40"/>
        </w:rPr>
        <w:t>NISQ 60</w:t>
      </w:r>
    </w:p>
    <w:p w14:paraId="7BC37E19" w14:textId="77777777" w:rsidR="00E24439" w:rsidRPr="008B3CDB" w:rsidRDefault="00E24439" w:rsidP="00E24439">
      <w:pPr>
        <w:jc w:val="center"/>
        <w:rPr>
          <w:b/>
          <w:sz w:val="40"/>
          <w:szCs w:val="40"/>
        </w:rPr>
      </w:pPr>
      <w:r w:rsidRPr="008B3CDB">
        <w:rPr>
          <w:b/>
          <w:sz w:val="40"/>
          <w:szCs w:val="40"/>
        </w:rPr>
        <w:t xml:space="preserve">NISQ Approved Centre </w:t>
      </w:r>
    </w:p>
    <w:p w14:paraId="15C971CE" w14:textId="77777777" w:rsidR="00E24439" w:rsidRDefault="00E24439" w:rsidP="00E24439">
      <w:pPr>
        <w:jc w:val="center"/>
      </w:pPr>
    </w:p>
    <w:p w14:paraId="6C1FB4E3" w14:textId="77777777" w:rsidR="00E24439" w:rsidRDefault="00E24439" w:rsidP="00E24439">
      <w:pPr>
        <w:jc w:val="center"/>
      </w:pPr>
    </w:p>
    <w:p w14:paraId="176B6C7E" w14:textId="4CD807B9" w:rsidR="00E24439" w:rsidRDefault="00E24439" w:rsidP="00E24439">
      <w:r>
        <w:t>Multi-purpose Application Form;</w:t>
      </w:r>
    </w:p>
    <w:p w14:paraId="16AD198E" w14:textId="311C1F4D" w:rsidR="009139FC" w:rsidRDefault="009139FC" w:rsidP="00E24439">
      <w:r>
        <w:t>Title of Application and Fee Code</w:t>
      </w:r>
    </w:p>
    <w:p w14:paraId="0F2DD35A" w14:textId="77777777" w:rsidR="00E24439" w:rsidRDefault="00E24439" w:rsidP="00E24439">
      <w:pPr>
        <w:pStyle w:val="ListParagraph"/>
        <w:numPr>
          <w:ilvl w:val="0"/>
          <w:numId w:val="3"/>
        </w:numPr>
      </w:pPr>
      <w:r>
        <w:t>Learner Individual Examination Resit</w:t>
      </w:r>
      <w:r w:rsidR="00D11EC8">
        <w:t xml:space="preserve"> 067</w:t>
      </w:r>
    </w:p>
    <w:p w14:paraId="6C11D24C" w14:textId="77777777" w:rsidR="00E24439" w:rsidRDefault="00E24439" w:rsidP="00E24439">
      <w:pPr>
        <w:pStyle w:val="ListParagraph"/>
        <w:numPr>
          <w:ilvl w:val="0"/>
          <w:numId w:val="3"/>
        </w:numPr>
      </w:pPr>
      <w:r>
        <w:t>Learner Late Entry to Examination</w:t>
      </w:r>
      <w:r w:rsidR="00D11EC8">
        <w:t xml:space="preserve"> 068</w:t>
      </w:r>
    </w:p>
    <w:p w14:paraId="02BDAD11" w14:textId="77777777" w:rsidR="00E24439" w:rsidRDefault="00E24439" w:rsidP="00E24439">
      <w:pPr>
        <w:pStyle w:val="ListParagraph"/>
        <w:numPr>
          <w:ilvl w:val="0"/>
          <w:numId w:val="3"/>
        </w:numPr>
      </w:pPr>
      <w:r>
        <w:t>Learner Day Entry to Examination</w:t>
      </w:r>
      <w:r w:rsidR="00D11EC8">
        <w:t xml:space="preserve"> 069</w:t>
      </w:r>
    </w:p>
    <w:p w14:paraId="41A5179A" w14:textId="068A6032" w:rsidR="00E24439" w:rsidRDefault="00E24439" w:rsidP="00E24439">
      <w:pPr>
        <w:pStyle w:val="ListParagraph"/>
        <w:numPr>
          <w:ilvl w:val="0"/>
          <w:numId w:val="3"/>
        </w:numPr>
      </w:pPr>
      <w:r>
        <w:t>Appeals and Reassessment</w:t>
      </w:r>
      <w:r w:rsidR="00D11EC8">
        <w:t xml:space="preserve"> </w:t>
      </w:r>
      <w:r w:rsidR="001E3297">
        <w:t xml:space="preserve">use </w:t>
      </w:r>
      <w:bookmarkStart w:id="1" w:name="_Hlk520195546"/>
      <w:r w:rsidR="001E3297">
        <w:t>A20b NISQ 20b</w:t>
      </w:r>
    </w:p>
    <w:bookmarkEnd w:id="1"/>
    <w:p w14:paraId="1101AFEA" w14:textId="1915958F" w:rsidR="001E3297" w:rsidRDefault="00E24439" w:rsidP="001E3297">
      <w:pPr>
        <w:pStyle w:val="ListParagraph"/>
        <w:numPr>
          <w:ilvl w:val="0"/>
          <w:numId w:val="3"/>
        </w:numPr>
      </w:pPr>
      <w:r>
        <w:t xml:space="preserve">Learner Individual </w:t>
      </w:r>
      <w:r w:rsidR="001E3297">
        <w:t xml:space="preserve">Appeal/Formal </w:t>
      </w:r>
      <w:r>
        <w:t>Re-assessment of Results- Grade</w:t>
      </w:r>
      <w:r w:rsidR="001E3297">
        <w:t xml:space="preserve"> A20b NISQ 20b</w:t>
      </w:r>
    </w:p>
    <w:p w14:paraId="75875226" w14:textId="2A6C556A" w:rsidR="00E24439" w:rsidRDefault="001E3297" w:rsidP="001E3297">
      <w:pPr>
        <w:pStyle w:val="ListParagraph"/>
      </w:pPr>
      <w:r>
        <w:t xml:space="preserve">Reference NISQ </w:t>
      </w:r>
      <w:r w:rsidR="00D11EC8">
        <w:t>071</w:t>
      </w:r>
    </w:p>
    <w:p w14:paraId="6C173E74" w14:textId="77777777" w:rsidR="001E3297" w:rsidRDefault="00E24439" w:rsidP="001E3297">
      <w:pPr>
        <w:pStyle w:val="ListParagraph"/>
        <w:numPr>
          <w:ilvl w:val="0"/>
          <w:numId w:val="3"/>
        </w:numPr>
      </w:pPr>
      <w:r>
        <w:t>Centre Appeal</w:t>
      </w:r>
      <w:r w:rsidR="001E3297">
        <w:t>/Formal</w:t>
      </w:r>
      <w:r>
        <w:t xml:space="preserve"> for Re-assessment of Written Examination</w:t>
      </w:r>
      <w:r w:rsidR="00D11EC8">
        <w:t xml:space="preserve"> </w:t>
      </w:r>
      <w:r w:rsidR="001E3297">
        <w:t>A20b NISQ 20b</w:t>
      </w:r>
    </w:p>
    <w:p w14:paraId="63677F87" w14:textId="7DBBC408" w:rsidR="00E24439" w:rsidRDefault="001E3297" w:rsidP="001E3297">
      <w:pPr>
        <w:pStyle w:val="ListParagraph"/>
      </w:pPr>
      <w:r>
        <w:t xml:space="preserve">Reference NISQ </w:t>
      </w:r>
      <w:r w:rsidR="00D11EC8">
        <w:t>072</w:t>
      </w:r>
    </w:p>
    <w:p w14:paraId="14944479" w14:textId="77777777" w:rsidR="00E24439" w:rsidRDefault="00E24439" w:rsidP="00E24439"/>
    <w:p w14:paraId="1713950D" w14:textId="645C2795" w:rsidR="00E24439" w:rsidRDefault="00E24439" w:rsidP="00E24439">
      <w:r>
        <w:t>For Fees See NISQ 06</w:t>
      </w:r>
      <w:r w:rsidR="008E40D6">
        <w:t>L</w:t>
      </w:r>
      <w:r>
        <w:t xml:space="preserve"> The Fees explained</w:t>
      </w:r>
    </w:p>
    <w:p w14:paraId="6549C4F3" w14:textId="77777777" w:rsidR="00E24439" w:rsidRDefault="00E24439" w:rsidP="00E24439"/>
    <w:p w14:paraId="5A158514" w14:textId="77777777" w:rsidR="00E24439" w:rsidRDefault="00D11EC8" w:rsidP="00E24439">
      <w:r>
        <w:t>For the Attention of the Chief Compliance Officer, Qualification Division NISQ</w:t>
      </w:r>
    </w:p>
    <w:p w14:paraId="069F3233" w14:textId="77777777" w:rsidR="00E24439" w:rsidRDefault="00E24439" w:rsidP="00E24439"/>
    <w:p w14:paraId="24559184" w14:textId="77777777" w:rsidR="00E24439" w:rsidRDefault="00E24439" w:rsidP="00E24439"/>
    <w:p w14:paraId="01BC3745" w14:textId="77777777" w:rsidR="00E24439" w:rsidRDefault="00E24439" w:rsidP="00E24439"/>
    <w:p w14:paraId="2CA0FC07" w14:textId="77777777" w:rsidR="00E24439" w:rsidRDefault="00E24439" w:rsidP="00E24439"/>
    <w:p w14:paraId="36F16798" w14:textId="77777777" w:rsidR="00E24439" w:rsidRDefault="00E24439" w:rsidP="00E2443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2647"/>
        <w:gridCol w:w="2750"/>
        <w:gridCol w:w="1548"/>
        <w:gridCol w:w="1276"/>
      </w:tblGrid>
      <w:tr w:rsidR="00D11EC8" w14:paraId="25684824" w14:textId="77777777" w:rsidTr="00C325F1">
        <w:tc>
          <w:tcPr>
            <w:tcW w:w="988" w:type="dxa"/>
          </w:tcPr>
          <w:p w14:paraId="662014E6" w14:textId="77777777" w:rsidR="00D11EC8" w:rsidRDefault="00D11EC8" w:rsidP="00E24439">
            <w:r>
              <w:t>Date</w:t>
            </w:r>
          </w:p>
        </w:tc>
        <w:tc>
          <w:tcPr>
            <w:tcW w:w="2647" w:type="dxa"/>
          </w:tcPr>
          <w:p w14:paraId="77CE9DDC" w14:textId="47E85787" w:rsidR="00D11EC8" w:rsidRDefault="00D11EC8" w:rsidP="00E24439">
            <w:r>
              <w:t xml:space="preserve">Applicant Details – Name, Unique Identification Number, </w:t>
            </w:r>
            <w:r w:rsidR="009139FC">
              <w:t xml:space="preserve">Fee </w:t>
            </w:r>
            <w:r>
              <w:t xml:space="preserve">Code </w:t>
            </w:r>
          </w:p>
        </w:tc>
        <w:tc>
          <w:tcPr>
            <w:tcW w:w="2750" w:type="dxa"/>
          </w:tcPr>
          <w:p w14:paraId="4C8AE6C0" w14:textId="77777777" w:rsidR="00D11EC8" w:rsidRDefault="00D11EC8" w:rsidP="00E24439">
            <w:r>
              <w:t>Details behind Application,</w:t>
            </w:r>
          </w:p>
          <w:p w14:paraId="07C327E6" w14:textId="6E069DB2" w:rsidR="00D11EC8" w:rsidRDefault="00D11EC8" w:rsidP="00E24439">
            <w:r>
              <w:t>Supporting documents</w:t>
            </w:r>
            <w:r w:rsidR="00764601">
              <w:t xml:space="preserve"> </w:t>
            </w:r>
            <w:r w:rsidR="001E3297">
              <w:t>–</w:t>
            </w:r>
            <w:r w:rsidR="00764601">
              <w:t xml:space="preserve"> Resits</w:t>
            </w:r>
            <w:r w:rsidR="001E3297">
              <w:t xml:space="preserve">, late entry to examination, exam </w:t>
            </w:r>
            <w:r w:rsidR="006B6F3E">
              <w:t>day entry</w:t>
            </w:r>
          </w:p>
        </w:tc>
        <w:tc>
          <w:tcPr>
            <w:tcW w:w="1548" w:type="dxa"/>
          </w:tcPr>
          <w:p w14:paraId="64DE555B" w14:textId="77777777" w:rsidR="00D11EC8" w:rsidRDefault="00D11EC8" w:rsidP="00E24439">
            <w:r>
              <w:t>Signature of the NISQ Approved Centre Qualification Coordinator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407D63BE" w14:textId="77777777" w:rsidR="00D11EC8" w:rsidRDefault="00D11EC8" w:rsidP="00E24439">
            <w:r>
              <w:t>Fees Paid Direct to NISQ - Total</w:t>
            </w:r>
          </w:p>
        </w:tc>
      </w:tr>
      <w:tr w:rsidR="00D11EC8" w14:paraId="6C681E85" w14:textId="77777777" w:rsidTr="00C325F1">
        <w:tc>
          <w:tcPr>
            <w:tcW w:w="988" w:type="dxa"/>
          </w:tcPr>
          <w:p w14:paraId="2CA457EF" w14:textId="77777777" w:rsidR="00D11EC8" w:rsidRDefault="00D11EC8" w:rsidP="00E24439"/>
        </w:tc>
        <w:tc>
          <w:tcPr>
            <w:tcW w:w="2647" w:type="dxa"/>
          </w:tcPr>
          <w:p w14:paraId="37CE30E9" w14:textId="77777777" w:rsidR="00D11EC8" w:rsidRDefault="00D11EC8" w:rsidP="00E24439"/>
          <w:p w14:paraId="7C372040" w14:textId="77777777" w:rsidR="00D11EC8" w:rsidRDefault="00D11EC8" w:rsidP="00E24439"/>
          <w:p w14:paraId="69DD2DA2" w14:textId="77777777" w:rsidR="00D11EC8" w:rsidRDefault="00D11EC8" w:rsidP="00E24439"/>
          <w:p w14:paraId="652C9FC1" w14:textId="77777777" w:rsidR="00D11EC8" w:rsidRDefault="00D11EC8" w:rsidP="00E24439"/>
        </w:tc>
        <w:tc>
          <w:tcPr>
            <w:tcW w:w="2750" w:type="dxa"/>
          </w:tcPr>
          <w:p w14:paraId="7BF98B46" w14:textId="77777777" w:rsidR="00D11EC8" w:rsidRDefault="00D11EC8" w:rsidP="00E24439"/>
        </w:tc>
        <w:tc>
          <w:tcPr>
            <w:tcW w:w="1548" w:type="dxa"/>
          </w:tcPr>
          <w:p w14:paraId="2F60E64E" w14:textId="77777777" w:rsidR="00D11EC8" w:rsidRDefault="00D11EC8" w:rsidP="00E24439"/>
        </w:tc>
        <w:tc>
          <w:tcPr>
            <w:tcW w:w="1276" w:type="dxa"/>
            <w:shd w:val="clear" w:color="auto" w:fill="FFD966" w:themeFill="accent4" w:themeFillTint="99"/>
          </w:tcPr>
          <w:p w14:paraId="33700B23" w14:textId="77777777" w:rsidR="00D11EC8" w:rsidRDefault="00D11EC8" w:rsidP="00E24439"/>
        </w:tc>
      </w:tr>
      <w:tr w:rsidR="00D11EC8" w14:paraId="0388BA41" w14:textId="77777777" w:rsidTr="00C325F1">
        <w:tc>
          <w:tcPr>
            <w:tcW w:w="988" w:type="dxa"/>
          </w:tcPr>
          <w:p w14:paraId="7167C83A" w14:textId="77777777" w:rsidR="00D11EC8" w:rsidRDefault="00D11EC8" w:rsidP="00E24439"/>
          <w:p w14:paraId="35795946" w14:textId="77777777" w:rsidR="00D11EC8" w:rsidRDefault="00D11EC8" w:rsidP="00E24439"/>
          <w:p w14:paraId="0B62A42E" w14:textId="77777777" w:rsidR="00D11EC8" w:rsidRDefault="00D11EC8" w:rsidP="00E24439"/>
          <w:p w14:paraId="624132B4" w14:textId="77777777" w:rsidR="00D11EC8" w:rsidRDefault="00D11EC8" w:rsidP="00E24439"/>
        </w:tc>
        <w:tc>
          <w:tcPr>
            <w:tcW w:w="2647" w:type="dxa"/>
          </w:tcPr>
          <w:p w14:paraId="7A4313DB" w14:textId="77777777" w:rsidR="00D11EC8" w:rsidRDefault="00D11EC8" w:rsidP="00E24439"/>
        </w:tc>
        <w:tc>
          <w:tcPr>
            <w:tcW w:w="2750" w:type="dxa"/>
          </w:tcPr>
          <w:p w14:paraId="7A5DAB0C" w14:textId="77777777" w:rsidR="00D11EC8" w:rsidRDefault="00D11EC8" w:rsidP="00E24439"/>
        </w:tc>
        <w:tc>
          <w:tcPr>
            <w:tcW w:w="1548" w:type="dxa"/>
          </w:tcPr>
          <w:p w14:paraId="7677DA2D" w14:textId="77777777" w:rsidR="00D11EC8" w:rsidRDefault="00D11EC8" w:rsidP="00E24439"/>
        </w:tc>
        <w:tc>
          <w:tcPr>
            <w:tcW w:w="1276" w:type="dxa"/>
            <w:shd w:val="clear" w:color="auto" w:fill="FFD966" w:themeFill="accent4" w:themeFillTint="99"/>
          </w:tcPr>
          <w:p w14:paraId="6EF9E30F" w14:textId="77777777" w:rsidR="00D11EC8" w:rsidRDefault="00D11EC8" w:rsidP="00E24439"/>
        </w:tc>
      </w:tr>
      <w:tr w:rsidR="00D11EC8" w14:paraId="6B55C8C8" w14:textId="77777777" w:rsidTr="00C325F1">
        <w:tc>
          <w:tcPr>
            <w:tcW w:w="988" w:type="dxa"/>
          </w:tcPr>
          <w:p w14:paraId="2F5DF035" w14:textId="77777777" w:rsidR="00D11EC8" w:rsidRDefault="00D11EC8" w:rsidP="00E24439"/>
          <w:p w14:paraId="41D4FB9E" w14:textId="77777777" w:rsidR="00D11EC8" w:rsidRDefault="00D11EC8" w:rsidP="00E24439"/>
          <w:p w14:paraId="22C5B87D" w14:textId="77777777" w:rsidR="00D11EC8" w:rsidRDefault="00D11EC8" w:rsidP="00E24439"/>
          <w:p w14:paraId="16434FF5" w14:textId="77777777" w:rsidR="00D11EC8" w:rsidRDefault="00D11EC8" w:rsidP="00E24439"/>
        </w:tc>
        <w:tc>
          <w:tcPr>
            <w:tcW w:w="2647" w:type="dxa"/>
          </w:tcPr>
          <w:p w14:paraId="2F5F147D" w14:textId="77777777" w:rsidR="00D11EC8" w:rsidRDefault="00D11EC8" w:rsidP="00E24439"/>
        </w:tc>
        <w:tc>
          <w:tcPr>
            <w:tcW w:w="2750" w:type="dxa"/>
          </w:tcPr>
          <w:p w14:paraId="6DA1D8DF" w14:textId="77777777" w:rsidR="00D11EC8" w:rsidRDefault="00D11EC8" w:rsidP="00E24439"/>
        </w:tc>
        <w:tc>
          <w:tcPr>
            <w:tcW w:w="1548" w:type="dxa"/>
          </w:tcPr>
          <w:p w14:paraId="7509DE91" w14:textId="77777777" w:rsidR="00D11EC8" w:rsidRDefault="00D11EC8" w:rsidP="00E24439"/>
        </w:tc>
        <w:tc>
          <w:tcPr>
            <w:tcW w:w="1276" w:type="dxa"/>
            <w:shd w:val="clear" w:color="auto" w:fill="FFD966" w:themeFill="accent4" w:themeFillTint="99"/>
          </w:tcPr>
          <w:p w14:paraId="16AC4EC0" w14:textId="77777777" w:rsidR="00D11EC8" w:rsidRDefault="00D11EC8" w:rsidP="00E24439"/>
        </w:tc>
      </w:tr>
      <w:tr w:rsidR="00D11EC8" w14:paraId="710A82BC" w14:textId="77777777" w:rsidTr="00C325F1">
        <w:tc>
          <w:tcPr>
            <w:tcW w:w="988" w:type="dxa"/>
          </w:tcPr>
          <w:p w14:paraId="550480DD" w14:textId="77777777" w:rsidR="00D11EC8" w:rsidRDefault="00D11EC8" w:rsidP="00E24439"/>
          <w:p w14:paraId="28D080D1" w14:textId="77777777" w:rsidR="00D11EC8" w:rsidRDefault="00D11EC8" w:rsidP="00E24439"/>
          <w:p w14:paraId="61EAA64B" w14:textId="77777777" w:rsidR="00D11EC8" w:rsidRDefault="00D11EC8" w:rsidP="00E24439"/>
          <w:p w14:paraId="01FA7952" w14:textId="77777777" w:rsidR="00D11EC8" w:rsidRDefault="00D11EC8" w:rsidP="00E24439"/>
        </w:tc>
        <w:tc>
          <w:tcPr>
            <w:tcW w:w="2647" w:type="dxa"/>
          </w:tcPr>
          <w:p w14:paraId="010CEBC0" w14:textId="77777777" w:rsidR="00D11EC8" w:rsidRDefault="00D11EC8" w:rsidP="00E24439"/>
        </w:tc>
        <w:tc>
          <w:tcPr>
            <w:tcW w:w="2750" w:type="dxa"/>
          </w:tcPr>
          <w:p w14:paraId="67BCD7A0" w14:textId="77777777" w:rsidR="00D11EC8" w:rsidRDefault="00D11EC8" w:rsidP="00E24439"/>
        </w:tc>
        <w:tc>
          <w:tcPr>
            <w:tcW w:w="1548" w:type="dxa"/>
          </w:tcPr>
          <w:p w14:paraId="52A912C6" w14:textId="77777777" w:rsidR="00D11EC8" w:rsidRDefault="00D11EC8" w:rsidP="00E24439"/>
        </w:tc>
        <w:tc>
          <w:tcPr>
            <w:tcW w:w="1276" w:type="dxa"/>
            <w:shd w:val="clear" w:color="auto" w:fill="FFD966" w:themeFill="accent4" w:themeFillTint="99"/>
          </w:tcPr>
          <w:p w14:paraId="3B42141D" w14:textId="77777777" w:rsidR="00D11EC8" w:rsidRDefault="00D11EC8" w:rsidP="00E24439"/>
        </w:tc>
      </w:tr>
      <w:tr w:rsidR="00D11EC8" w14:paraId="3C5D98EB" w14:textId="77777777" w:rsidTr="00C325F1">
        <w:tc>
          <w:tcPr>
            <w:tcW w:w="988" w:type="dxa"/>
          </w:tcPr>
          <w:p w14:paraId="3B465D35" w14:textId="77777777" w:rsidR="00D11EC8" w:rsidRDefault="00D11EC8" w:rsidP="00E24439"/>
          <w:p w14:paraId="15729E49" w14:textId="77777777" w:rsidR="00D11EC8" w:rsidRDefault="00D11EC8" w:rsidP="00E24439"/>
          <w:p w14:paraId="692F1CCD" w14:textId="77777777" w:rsidR="00D11EC8" w:rsidRDefault="00D11EC8" w:rsidP="00E24439"/>
          <w:p w14:paraId="4F70CCD9" w14:textId="77777777" w:rsidR="00D11EC8" w:rsidRDefault="00D11EC8" w:rsidP="00E24439"/>
        </w:tc>
        <w:tc>
          <w:tcPr>
            <w:tcW w:w="2647" w:type="dxa"/>
          </w:tcPr>
          <w:p w14:paraId="356F7BA5" w14:textId="77777777" w:rsidR="00D11EC8" w:rsidRDefault="00D11EC8" w:rsidP="00E24439"/>
        </w:tc>
        <w:tc>
          <w:tcPr>
            <w:tcW w:w="2750" w:type="dxa"/>
          </w:tcPr>
          <w:p w14:paraId="10E7487A" w14:textId="77777777" w:rsidR="00D11EC8" w:rsidRDefault="00D11EC8" w:rsidP="00E24439"/>
        </w:tc>
        <w:tc>
          <w:tcPr>
            <w:tcW w:w="1548" w:type="dxa"/>
          </w:tcPr>
          <w:p w14:paraId="13D43A81" w14:textId="77777777" w:rsidR="00D11EC8" w:rsidRDefault="00D11EC8" w:rsidP="00E24439"/>
        </w:tc>
        <w:tc>
          <w:tcPr>
            <w:tcW w:w="1276" w:type="dxa"/>
            <w:shd w:val="clear" w:color="auto" w:fill="FFD966" w:themeFill="accent4" w:themeFillTint="99"/>
          </w:tcPr>
          <w:p w14:paraId="4FD51398" w14:textId="77777777" w:rsidR="00D11EC8" w:rsidRDefault="00D11EC8" w:rsidP="00E24439"/>
        </w:tc>
      </w:tr>
      <w:tr w:rsidR="00D11EC8" w14:paraId="58B2298F" w14:textId="77777777" w:rsidTr="00C325F1">
        <w:tc>
          <w:tcPr>
            <w:tcW w:w="988" w:type="dxa"/>
          </w:tcPr>
          <w:p w14:paraId="6DC03C05" w14:textId="77777777" w:rsidR="00D11EC8" w:rsidRDefault="00D11EC8" w:rsidP="00E24439"/>
          <w:p w14:paraId="02CB850E" w14:textId="77777777" w:rsidR="00D11EC8" w:rsidRDefault="00D11EC8" w:rsidP="00E24439"/>
          <w:p w14:paraId="54BC19AA" w14:textId="77777777" w:rsidR="00D11EC8" w:rsidRDefault="00D11EC8" w:rsidP="00E24439"/>
          <w:p w14:paraId="4F3175B6" w14:textId="77777777" w:rsidR="00D11EC8" w:rsidRDefault="00D11EC8" w:rsidP="00E24439"/>
        </w:tc>
        <w:tc>
          <w:tcPr>
            <w:tcW w:w="2647" w:type="dxa"/>
          </w:tcPr>
          <w:p w14:paraId="377DA7A0" w14:textId="77777777" w:rsidR="00D11EC8" w:rsidRDefault="00D11EC8" w:rsidP="00E24439"/>
        </w:tc>
        <w:tc>
          <w:tcPr>
            <w:tcW w:w="2750" w:type="dxa"/>
          </w:tcPr>
          <w:p w14:paraId="6A947D2A" w14:textId="77777777" w:rsidR="00D11EC8" w:rsidRDefault="00D11EC8" w:rsidP="00E24439"/>
        </w:tc>
        <w:tc>
          <w:tcPr>
            <w:tcW w:w="1548" w:type="dxa"/>
          </w:tcPr>
          <w:p w14:paraId="5D929E81" w14:textId="77777777" w:rsidR="00D11EC8" w:rsidRDefault="00D11EC8" w:rsidP="00E24439"/>
        </w:tc>
        <w:tc>
          <w:tcPr>
            <w:tcW w:w="1276" w:type="dxa"/>
            <w:shd w:val="clear" w:color="auto" w:fill="FFD966" w:themeFill="accent4" w:themeFillTint="99"/>
          </w:tcPr>
          <w:p w14:paraId="5CD7AA6E" w14:textId="77777777" w:rsidR="00D11EC8" w:rsidRDefault="00D11EC8" w:rsidP="00E24439"/>
        </w:tc>
      </w:tr>
      <w:tr w:rsidR="00B214FE" w14:paraId="758D48A5" w14:textId="77777777" w:rsidTr="00C325F1">
        <w:tc>
          <w:tcPr>
            <w:tcW w:w="988" w:type="dxa"/>
          </w:tcPr>
          <w:p w14:paraId="6C549A83" w14:textId="77777777" w:rsidR="00B214FE" w:rsidRDefault="00B214FE" w:rsidP="00E24439"/>
        </w:tc>
        <w:tc>
          <w:tcPr>
            <w:tcW w:w="2647" w:type="dxa"/>
          </w:tcPr>
          <w:p w14:paraId="04B87A9F" w14:textId="77777777" w:rsidR="00B214FE" w:rsidRDefault="00B214FE" w:rsidP="00E24439"/>
        </w:tc>
        <w:tc>
          <w:tcPr>
            <w:tcW w:w="2750" w:type="dxa"/>
          </w:tcPr>
          <w:p w14:paraId="3444CFF3" w14:textId="77777777" w:rsidR="00B214FE" w:rsidRDefault="00B214FE" w:rsidP="00E24439"/>
        </w:tc>
        <w:tc>
          <w:tcPr>
            <w:tcW w:w="1548" w:type="dxa"/>
          </w:tcPr>
          <w:p w14:paraId="4EEA5ADE" w14:textId="77777777" w:rsidR="00B214FE" w:rsidRDefault="00B214FE" w:rsidP="00E24439"/>
        </w:tc>
        <w:tc>
          <w:tcPr>
            <w:tcW w:w="1276" w:type="dxa"/>
            <w:shd w:val="clear" w:color="auto" w:fill="FFD966" w:themeFill="accent4" w:themeFillTint="99"/>
          </w:tcPr>
          <w:p w14:paraId="0FACDC54" w14:textId="77777777" w:rsidR="00B214FE" w:rsidRDefault="00B214FE" w:rsidP="00E24439"/>
        </w:tc>
      </w:tr>
      <w:tr w:rsidR="00B214FE" w14:paraId="766410FF" w14:textId="77777777" w:rsidTr="00C325F1">
        <w:tc>
          <w:tcPr>
            <w:tcW w:w="988" w:type="dxa"/>
          </w:tcPr>
          <w:p w14:paraId="58CE79D6" w14:textId="77777777" w:rsidR="00B214FE" w:rsidRDefault="00B214FE" w:rsidP="00E24439"/>
        </w:tc>
        <w:tc>
          <w:tcPr>
            <w:tcW w:w="2647" w:type="dxa"/>
          </w:tcPr>
          <w:p w14:paraId="0424DD10" w14:textId="77777777" w:rsidR="00B214FE" w:rsidRDefault="00B214FE" w:rsidP="00E24439"/>
        </w:tc>
        <w:tc>
          <w:tcPr>
            <w:tcW w:w="2750" w:type="dxa"/>
          </w:tcPr>
          <w:p w14:paraId="15416BE2" w14:textId="77777777" w:rsidR="00B214FE" w:rsidRDefault="00B214FE" w:rsidP="00E24439"/>
        </w:tc>
        <w:tc>
          <w:tcPr>
            <w:tcW w:w="1548" w:type="dxa"/>
          </w:tcPr>
          <w:p w14:paraId="09D47201" w14:textId="77777777" w:rsidR="00B214FE" w:rsidRDefault="00B214FE" w:rsidP="00E24439"/>
        </w:tc>
        <w:tc>
          <w:tcPr>
            <w:tcW w:w="1276" w:type="dxa"/>
            <w:shd w:val="clear" w:color="auto" w:fill="FFD966" w:themeFill="accent4" w:themeFillTint="99"/>
          </w:tcPr>
          <w:p w14:paraId="36264CFB" w14:textId="77777777" w:rsidR="00B214FE" w:rsidRDefault="00B214FE" w:rsidP="00E24439"/>
        </w:tc>
      </w:tr>
    </w:tbl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B214FE" w:rsidRPr="00C325F1" w14:paraId="0D2A4A6B" w14:textId="77777777" w:rsidTr="004E633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5A10CC" w14:textId="77777777" w:rsidR="00B214FE" w:rsidRDefault="00B214FE" w:rsidP="00B214FE">
            <w:r>
              <w:t xml:space="preserve">Payment by debit card / Bank Transfer: </w:t>
            </w:r>
          </w:p>
          <w:p w14:paraId="6A430E8A" w14:textId="77777777" w:rsidR="00B214FE" w:rsidRDefault="00B214FE" w:rsidP="00B214FE"/>
          <w:p w14:paraId="2991B953" w14:textId="77777777" w:rsidR="00B214FE" w:rsidRDefault="00B214FE" w:rsidP="00B214FE">
            <w:pPr>
              <w:rPr>
                <w:u w:val="single"/>
              </w:rPr>
            </w:pPr>
            <w:r>
              <w:rPr>
                <w:u w:val="single"/>
              </w:rPr>
              <w:t xml:space="preserve">Bank Transfer details:                                 </w:t>
            </w:r>
          </w:p>
          <w:p w14:paraId="567F5BED" w14:textId="77777777" w:rsidR="00B214FE" w:rsidRDefault="00B214FE" w:rsidP="00B214FE">
            <w:pPr>
              <w:jc w:val="right"/>
            </w:pPr>
            <w:r>
              <w:t xml:space="preserve">   A/C Name:    </w:t>
            </w:r>
          </w:p>
          <w:p w14:paraId="6EF66478" w14:textId="77777777" w:rsidR="00B214FE" w:rsidRDefault="00B214FE" w:rsidP="00B214FE">
            <w:pPr>
              <w:jc w:val="right"/>
            </w:pPr>
            <w:r>
              <w:t xml:space="preserve">Sort Code:     </w:t>
            </w:r>
          </w:p>
          <w:p w14:paraId="7D793378" w14:textId="77777777" w:rsidR="00B214FE" w:rsidRDefault="00B214FE" w:rsidP="00B214FE">
            <w:pPr>
              <w:jc w:val="right"/>
            </w:pPr>
            <w:r>
              <w:t>A/C Number:</w:t>
            </w:r>
          </w:p>
          <w:p w14:paraId="2DB887BE" w14:textId="77777777" w:rsidR="00B214FE" w:rsidRDefault="00B214FE" w:rsidP="00B214FE">
            <w:pPr>
              <w:jc w:val="right"/>
            </w:pPr>
            <w:r>
              <w:t>BIC:</w:t>
            </w:r>
          </w:p>
          <w:p w14:paraId="398BC7A0" w14:textId="1B3C5553" w:rsidR="00B214FE" w:rsidRPr="00C325F1" w:rsidRDefault="00B214FE" w:rsidP="00B214FE">
            <w:pPr>
              <w:rPr>
                <w:rFonts w:ascii="Gill Sans MT" w:eastAsia="Gill Sans MT" w:hAnsi="Gill Sans MT" w:cs="Times New Roman"/>
              </w:rPr>
            </w:pPr>
            <w:r>
              <w:t>IBAN: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A207B2" w14:textId="77777777" w:rsidR="00B214FE" w:rsidRDefault="00B214FE" w:rsidP="00B214FE"/>
          <w:p w14:paraId="070E40DD" w14:textId="77777777" w:rsidR="00B214FE" w:rsidRDefault="00B214FE" w:rsidP="00B214FE"/>
          <w:p w14:paraId="48DB01E0" w14:textId="77777777" w:rsidR="00B214FE" w:rsidRDefault="00B214FE" w:rsidP="00B214FE"/>
          <w:p w14:paraId="14E3D2EF" w14:textId="77777777" w:rsidR="00B214FE" w:rsidRDefault="00B214FE" w:rsidP="00B214FE">
            <w:r>
              <w:t>GSQ Group Corporate Acc.</w:t>
            </w:r>
          </w:p>
          <w:p w14:paraId="031FC52A" w14:textId="77777777" w:rsidR="00B214FE" w:rsidRDefault="00B214FE" w:rsidP="00B214FE">
            <w:r>
              <w:t>09-02-22</w:t>
            </w:r>
          </w:p>
          <w:p w14:paraId="74DB816B" w14:textId="77777777" w:rsidR="00B214FE" w:rsidRDefault="00B214FE" w:rsidP="00B214FE">
            <w:r>
              <w:t>10796959</w:t>
            </w:r>
          </w:p>
          <w:p w14:paraId="2400E9AD" w14:textId="77777777" w:rsidR="00B214FE" w:rsidRDefault="00B214FE" w:rsidP="00B214FE"/>
          <w:p w14:paraId="757E665F" w14:textId="5211495E" w:rsidR="00B214FE" w:rsidRPr="00C325F1" w:rsidRDefault="00B214FE" w:rsidP="00B214FE">
            <w:pPr>
              <w:rPr>
                <w:rFonts w:ascii="Gill Sans MT" w:eastAsia="Gill Sans MT" w:hAnsi="Gill Sans MT" w:cs="Times New Roman"/>
              </w:rPr>
            </w:pPr>
            <w:r>
              <w:t>GB39ABBY09022210796959</w:t>
            </w:r>
          </w:p>
        </w:tc>
      </w:tr>
      <w:tr w:rsidR="00B214FE" w:rsidRPr="00C325F1" w14:paraId="2713E1E7" w14:textId="77777777" w:rsidTr="004E633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75A0BF" w14:textId="7C388BD6" w:rsidR="00B214FE" w:rsidRPr="00C325F1" w:rsidRDefault="00B214FE" w:rsidP="00B214FE">
            <w:pPr>
              <w:rPr>
                <w:rFonts w:ascii="Gill Sans MT" w:eastAsia="Gill Sans MT" w:hAnsi="Gill Sans MT" w:cs="Times New Roman"/>
              </w:rPr>
            </w:pPr>
            <w:r>
              <w:t>(please quote the following reference via your bank transfer payment)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49D241" w14:textId="20599824" w:rsidR="00B214FE" w:rsidRPr="00C325F1" w:rsidRDefault="00B214FE" w:rsidP="00B214FE">
            <w:pPr>
              <w:rPr>
                <w:rFonts w:ascii="Gill Sans MT" w:eastAsia="Gill Sans MT" w:hAnsi="Gill Sans MT" w:cs="Times New Roman"/>
              </w:rPr>
            </w:pPr>
            <w:r>
              <w:t>“Ref: NISQ and ………… [the applicants unique reference number]“</w:t>
            </w:r>
          </w:p>
        </w:tc>
      </w:tr>
    </w:tbl>
    <w:p w14:paraId="77ED0257" w14:textId="77777777" w:rsidR="00E24439" w:rsidRDefault="00E24439" w:rsidP="00E24439"/>
    <w:sectPr w:rsidR="00E24439" w:rsidSect="00E244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78BF" w14:textId="77777777" w:rsidR="00FC77B0" w:rsidRDefault="00FC77B0" w:rsidP="00D11EC8">
      <w:pPr>
        <w:spacing w:after="0" w:line="240" w:lineRule="auto"/>
      </w:pPr>
      <w:r>
        <w:separator/>
      </w:r>
    </w:p>
  </w:endnote>
  <w:endnote w:type="continuationSeparator" w:id="0">
    <w:p w14:paraId="0092D952" w14:textId="77777777" w:rsidR="00FC77B0" w:rsidRDefault="00FC77B0" w:rsidP="00D1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4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FCDC4" w14:textId="77777777" w:rsidR="00D11EC8" w:rsidRDefault="00D11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5AD9F" w14:textId="6EF87D6C" w:rsidR="00D11EC8" w:rsidRPr="00D11EC8" w:rsidRDefault="00D11EC8" w:rsidP="00D11EC8">
    <w:pPr>
      <w:pStyle w:val="Footer"/>
      <w:rPr>
        <w:i/>
        <w:sz w:val="18"/>
        <w:szCs w:val="18"/>
      </w:rPr>
    </w:pPr>
    <w:r w:rsidRPr="00D11EC8">
      <w:rPr>
        <w:rFonts w:cstheme="minorHAnsi"/>
        <w:i/>
        <w:sz w:val="18"/>
        <w:szCs w:val="18"/>
      </w:rPr>
      <w:t>©</w:t>
    </w:r>
    <w:r w:rsidRPr="00D11EC8">
      <w:rPr>
        <w:i/>
        <w:sz w:val="18"/>
        <w:szCs w:val="18"/>
      </w:rPr>
      <w:t>2018NISQallrigh</w:t>
    </w:r>
    <w:r>
      <w:rPr>
        <w:i/>
        <w:sz w:val="18"/>
        <w:szCs w:val="18"/>
      </w:rPr>
      <w:t>tsre</w:t>
    </w:r>
    <w:r w:rsidRPr="00D11EC8">
      <w:rPr>
        <w:i/>
        <w:sz w:val="18"/>
        <w:szCs w:val="18"/>
      </w:rPr>
      <w:t>served                         Reviewed March 201</w:t>
    </w:r>
    <w:r w:rsidR="00793357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3921" w14:textId="77777777" w:rsidR="00FC77B0" w:rsidRDefault="00FC77B0" w:rsidP="00D11EC8">
      <w:pPr>
        <w:spacing w:after="0" w:line="240" w:lineRule="auto"/>
      </w:pPr>
      <w:r>
        <w:separator/>
      </w:r>
    </w:p>
  </w:footnote>
  <w:footnote w:type="continuationSeparator" w:id="0">
    <w:p w14:paraId="1C334FE5" w14:textId="77777777" w:rsidR="00FC77B0" w:rsidRDefault="00FC77B0" w:rsidP="00D1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C5B8" w14:textId="77777777" w:rsidR="00D11EC8" w:rsidRPr="00D11EC8" w:rsidRDefault="00D11EC8" w:rsidP="00D11EC8">
    <w:pPr>
      <w:pStyle w:val="Header"/>
      <w:tabs>
        <w:tab w:val="clear" w:pos="4513"/>
        <w:tab w:val="clear" w:pos="9026"/>
        <w:tab w:val="left" w:pos="3240"/>
      </w:tabs>
      <w:jc w:val="center"/>
      <w:rPr>
        <w:b/>
      </w:rPr>
    </w:pPr>
    <w:r w:rsidRPr="00D11EC8">
      <w:rPr>
        <w:b/>
      </w:rPr>
      <w:t>NISQ</w:t>
    </w:r>
    <w:r>
      <w:rPr>
        <w:b/>
      </w:rPr>
      <w:t xml:space="preserve"> 60</w:t>
    </w:r>
  </w:p>
  <w:p w14:paraId="47EE10EE" w14:textId="28FBA6A2" w:rsidR="00793357" w:rsidRDefault="00793357" w:rsidP="00793357">
    <w:pPr>
      <w:pStyle w:val="Header"/>
      <w:jc w:val="center"/>
      <w:rPr>
        <w:b/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806"/>
    <w:multiLevelType w:val="hybridMultilevel"/>
    <w:tmpl w:val="1764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394A"/>
    <w:multiLevelType w:val="hybridMultilevel"/>
    <w:tmpl w:val="F0A4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5F3B"/>
    <w:multiLevelType w:val="hybridMultilevel"/>
    <w:tmpl w:val="A5867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39"/>
    <w:rsid w:val="000A0494"/>
    <w:rsid w:val="001220A0"/>
    <w:rsid w:val="00126748"/>
    <w:rsid w:val="001E3297"/>
    <w:rsid w:val="00362AFF"/>
    <w:rsid w:val="003C463F"/>
    <w:rsid w:val="00523604"/>
    <w:rsid w:val="00654A53"/>
    <w:rsid w:val="006B6F3E"/>
    <w:rsid w:val="00764601"/>
    <w:rsid w:val="00793357"/>
    <w:rsid w:val="007E35E7"/>
    <w:rsid w:val="008B3CDB"/>
    <w:rsid w:val="008C25A6"/>
    <w:rsid w:val="008E40D6"/>
    <w:rsid w:val="009139FC"/>
    <w:rsid w:val="00A2453A"/>
    <w:rsid w:val="00B02CEC"/>
    <w:rsid w:val="00B214FE"/>
    <w:rsid w:val="00C325F1"/>
    <w:rsid w:val="00C71A9C"/>
    <w:rsid w:val="00C9713D"/>
    <w:rsid w:val="00D00DFB"/>
    <w:rsid w:val="00D11EC8"/>
    <w:rsid w:val="00E24439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B73E8"/>
  <w15:chartTrackingRefBased/>
  <w15:docId w15:val="{81A452D4-B50D-4AA0-9823-84FE4E0B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39"/>
    <w:pPr>
      <w:ind w:left="720"/>
      <w:contextualSpacing/>
    </w:pPr>
  </w:style>
  <w:style w:type="table" w:styleId="TableGrid">
    <w:name w:val="Table Grid"/>
    <w:basedOn w:val="TableNormal"/>
    <w:uiPriority w:val="39"/>
    <w:rsid w:val="00E2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C8"/>
  </w:style>
  <w:style w:type="paragraph" w:styleId="Footer">
    <w:name w:val="footer"/>
    <w:basedOn w:val="Normal"/>
    <w:link w:val="FooterChar"/>
    <w:uiPriority w:val="99"/>
    <w:unhideWhenUsed/>
    <w:rsid w:val="00D1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C8"/>
  </w:style>
  <w:style w:type="table" w:customStyle="1" w:styleId="TableGrid1">
    <w:name w:val="Table Grid1"/>
    <w:basedOn w:val="TableNormal"/>
    <w:next w:val="TableGrid"/>
    <w:uiPriority w:val="39"/>
    <w:rsid w:val="00C3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2019-09-30T16:23:00Z</dcterms:created>
  <dcterms:modified xsi:type="dcterms:W3CDTF">2019-09-30T16:23:00Z</dcterms:modified>
</cp:coreProperties>
</file>