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9E04" w14:textId="77777777" w:rsidR="008C25A6" w:rsidRDefault="00356E07" w:rsidP="00356E07">
      <w:pPr>
        <w:jc w:val="center"/>
      </w:pPr>
      <w:r>
        <w:rPr>
          <w:noProof/>
        </w:rPr>
        <w:drawing>
          <wp:inline distT="0" distB="0" distL="0" distR="0" wp14:anchorId="386BFDD5" wp14:editId="21F5A1C8">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5394B759" w14:textId="77777777" w:rsidR="00356E07" w:rsidRDefault="00356E07" w:rsidP="00356E07">
      <w:pPr>
        <w:jc w:val="center"/>
      </w:pPr>
    </w:p>
    <w:p w14:paraId="0B4ABE82" w14:textId="77777777" w:rsidR="00356E07" w:rsidRPr="00356E07" w:rsidRDefault="00356E07" w:rsidP="006E4DE6">
      <w:pPr>
        <w:rPr>
          <w:sz w:val="44"/>
          <w:szCs w:val="44"/>
        </w:rPr>
      </w:pPr>
      <w:r w:rsidRPr="00356E07">
        <w:rPr>
          <w:sz w:val="44"/>
          <w:szCs w:val="44"/>
        </w:rPr>
        <w:t>NISQ D21 Third Party Policy</w:t>
      </w:r>
    </w:p>
    <w:p w14:paraId="4D7B274A" w14:textId="77777777" w:rsidR="00356E07" w:rsidRPr="00C46A5A" w:rsidRDefault="00356E07" w:rsidP="00356E07">
      <w:pPr>
        <w:spacing w:after="240" w:line="240" w:lineRule="auto"/>
        <w:rPr>
          <w:rFonts w:eastAsia="Times New Roman" w:cstheme="minorHAnsi"/>
          <w:color w:val="110A1D"/>
          <w:lang w:eastAsia="en-GB"/>
        </w:rPr>
      </w:pPr>
      <w:r w:rsidRPr="00356E07">
        <w:rPr>
          <w:rFonts w:eastAsia="Times New Roman" w:cstheme="minorHAnsi"/>
          <w:color w:val="110A1D"/>
          <w:lang w:eastAsia="en-GB"/>
        </w:rPr>
        <w:t xml:space="preserve">a) This </w:t>
      </w:r>
      <w:r w:rsidRPr="00C46A5A">
        <w:rPr>
          <w:rFonts w:eastAsia="Times New Roman" w:cstheme="minorHAnsi"/>
          <w:color w:val="110A1D"/>
          <w:lang w:eastAsia="en-GB"/>
        </w:rPr>
        <w:t>Policy</w:t>
      </w:r>
      <w:r w:rsidRPr="00356E07">
        <w:rPr>
          <w:rFonts w:eastAsia="Times New Roman" w:cstheme="minorHAnsi"/>
          <w:color w:val="110A1D"/>
          <w:lang w:eastAsia="en-GB"/>
        </w:rPr>
        <w:t xml:space="preserve"> outlines standards involved in working with third parties, including </w:t>
      </w:r>
      <w:r w:rsidRPr="00C46A5A">
        <w:rPr>
          <w:rFonts w:eastAsia="Times New Roman" w:cstheme="minorHAnsi"/>
          <w:color w:val="110A1D"/>
          <w:lang w:eastAsia="en-GB"/>
        </w:rPr>
        <w:t xml:space="preserve">NISQ Approved Centres, Centre Staff, </w:t>
      </w:r>
      <w:r w:rsidRPr="00356E07">
        <w:rPr>
          <w:rFonts w:eastAsia="Times New Roman" w:cstheme="minorHAnsi"/>
          <w:color w:val="110A1D"/>
          <w:lang w:eastAsia="en-GB"/>
        </w:rPr>
        <w:t xml:space="preserve">consultants, </w:t>
      </w:r>
      <w:r w:rsidRPr="00C46A5A">
        <w:rPr>
          <w:rFonts w:eastAsia="Times New Roman" w:cstheme="minorHAnsi"/>
          <w:color w:val="110A1D"/>
          <w:lang w:eastAsia="en-GB"/>
        </w:rPr>
        <w:t>all NISQ Staff</w:t>
      </w:r>
      <w:r w:rsidRPr="00356E07">
        <w:rPr>
          <w:rFonts w:eastAsia="Times New Roman" w:cstheme="minorHAnsi"/>
          <w:color w:val="110A1D"/>
          <w:lang w:eastAsia="en-GB"/>
        </w:rPr>
        <w:t xml:space="preserve">, agencies and suppliers, as well as the standards expected of them. </w:t>
      </w:r>
    </w:p>
    <w:p w14:paraId="089F2637" w14:textId="77777777" w:rsidR="00356E07" w:rsidRPr="00C46A5A" w:rsidRDefault="00356E07" w:rsidP="00356E07">
      <w:pPr>
        <w:spacing w:after="240" w:line="240" w:lineRule="auto"/>
        <w:rPr>
          <w:rFonts w:eastAsia="Times New Roman" w:cstheme="minorHAnsi"/>
          <w:color w:val="110A1D"/>
          <w:lang w:eastAsia="en-GB"/>
        </w:rPr>
      </w:pPr>
      <w:r w:rsidRPr="00356E07">
        <w:rPr>
          <w:rFonts w:eastAsia="Times New Roman" w:cstheme="minorHAnsi"/>
          <w:color w:val="110A1D"/>
          <w:lang w:eastAsia="en-GB"/>
        </w:rPr>
        <w:t xml:space="preserve">b) </w:t>
      </w:r>
      <w:r w:rsidRPr="00C46A5A">
        <w:rPr>
          <w:rFonts w:eastAsia="Times New Roman" w:cstheme="minorHAnsi"/>
          <w:color w:val="110A1D"/>
          <w:lang w:eastAsia="en-GB"/>
        </w:rPr>
        <w:t xml:space="preserve">Third Parties </w:t>
      </w:r>
      <w:r w:rsidRPr="00356E07">
        <w:rPr>
          <w:rFonts w:eastAsia="Times New Roman" w:cstheme="minorHAnsi"/>
          <w:b/>
          <w:bCs/>
          <w:color w:val="110A1D"/>
          <w:lang w:eastAsia="en-GB"/>
        </w:rPr>
        <w:t>MUST</w:t>
      </w:r>
      <w:r w:rsidRPr="00356E07">
        <w:rPr>
          <w:rFonts w:eastAsia="Times New Roman" w:cstheme="minorHAnsi"/>
          <w:color w:val="110A1D"/>
          <w:lang w:eastAsia="en-GB"/>
        </w:rPr>
        <w:t xml:space="preserve"> make all reasonable efforts and exercise due diligence to ensure the ongoing compliance of </w:t>
      </w:r>
      <w:r w:rsidRPr="00C46A5A">
        <w:rPr>
          <w:rFonts w:eastAsia="Times New Roman" w:cstheme="minorHAnsi"/>
          <w:color w:val="110A1D"/>
          <w:lang w:eastAsia="en-GB"/>
        </w:rPr>
        <w:t xml:space="preserve">NISQ Policies, Guidelines and use of their administration system including the NISQ eLearners Pathway. </w:t>
      </w:r>
    </w:p>
    <w:p w14:paraId="5C89C7C6" w14:textId="77777777" w:rsidR="006E4DE6" w:rsidRPr="00C46A5A" w:rsidRDefault="00505C29" w:rsidP="00356E07">
      <w:pPr>
        <w:spacing w:after="240" w:line="240" w:lineRule="auto"/>
        <w:rPr>
          <w:rFonts w:eastAsia="Times New Roman" w:cstheme="minorHAnsi"/>
          <w:color w:val="110A1D"/>
          <w:sz w:val="44"/>
          <w:szCs w:val="44"/>
          <w:lang w:eastAsia="en-GB"/>
        </w:rPr>
      </w:pPr>
      <w:r>
        <w:rPr>
          <w:rFonts w:eastAsia="Times New Roman" w:cstheme="minorHAnsi"/>
          <w:color w:val="110A1D"/>
          <w:sz w:val="44"/>
          <w:szCs w:val="44"/>
          <w:lang w:eastAsia="en-GB"/>
        </w:rPr>
        <w:t>1.</w:t>
      </w:r>
      <w:r w:rsidR="006E4DE6" w:rsidRPr="00C46A5A">
        <w:rPr>
          <w:rFonts w:eastAsia="Times New Roman" w:cstheme="minorHAnsi"/>
          <w:color w:val="110A1D"/>
          <w:sz w:val="44"/>
          <w:szCs w:val="44"/>
          <w:lang w:eastAsia="en-GB"/>
        </w:rPr>
        <w:t>NISQ and Third Parties</w:t>
      </w:r>
    </w:p>
    <w:p w14:paraId="2CC1CED2" w14:textId="77777777" w:rsidR="00356E07" w:rsidRPr="00356E07" w:rsidRDefault="00356E07" w:rsidP="00356E07">
      <w:pPr>
        <w:spacing w:after="240" w:line="240" w:lineRule="auto"/>
        <w:rPr>
          <w:rFonts w:eastAsia="Times New Roman" w:cstheme="minorHAnsi"/>
          <w:color w:val="110A1D"/>
          <w:lang w:eastAsia="en-GB"/>
        </w:rPr>
      </w:pPr>
      <w:r w:rsidRPr="00C46A5A">
        <w:rPr>
          <w:rFonts w:eastAsia="Times New Roman" w:cstheme="minorHAnsi"/>
          <w:color w:val="110A1D"/>
          <w:lang w:eastAsia="en-GB"/>
        </w:rPr>
        <w:t xml:space="preserve">NISQ will </w:t>
      </w:r>
      <w:r w:rsidRPr="00356E07">
        <w:rPr>
          <w:rFonts w:eastAsia="Times New Roman" w:cstheme="minorHAnsi"/>
          <w:color w:val="110A1D"/>
          <w:lang w:eastAsia="en-GB"/>
        </w:rPr>
        <w:t>deliver effective and proportionate monitoring. Means of evidencing reasonable efforts to ensure effective ongoing compliance may include (but are not limited to):</w:t>
      </w:r>
    </w:p>
    <w:p w14:paraId="22282A9A"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ensuring the values of </w:t>
      </w:r>
      <w:r w:rsidRPr="00C46A5A">
        <w:rPr>
          <w:rFonts w:eastAsia="Times New Roman" w:cstheme="minorHAnsi"/>
          <w:color w:val="110A1D"/>
          <w:lang w:eastAsia="en-GB"/>
        </w:rPr>
        <w:t xml:space="preserve">NISQ </w:t>
      </w:r>
      <w:r w:rsidRPr="00356E07">
        <w:rPr>
          <w:rFonts w:eastAsia="Times New Roman" w:cstheme="minorHAnsi"/>
          <w:color w:val="110A1D"/>
          <w:lang w:eastAsia="en-GB"/>
        </w:rPr>
        <w:t>are reflected in the</w:t>
      </w:r>
      <w:r w:rsidR="006E4DE6" w:rsidRPr="00C46A5A">
        <w:rPr>
          <w:rFonts w:eastAsia="Times New Roman" w:cstheme="minorHAnsi"/>
          <w:color w:val="110A1D"/>
          <w:lang w:eastAsia="en-GB"/>
        </w:rPr>
        <w:t xml:space="preserve"> Third Parties delivering their Qualifications</w:t>
      </w:r>
      <w:r w:rsidRPr="00356E07">
        <w:rPr>
          <w:rFonts w:eastAsia="Times New Roman" w:cstheme="minorHAnsi"/>
          <w:color w:val="110A1D"/>
          <w:lang w:eastAsia="en-GB"/>
        </w:rPr>
        <w:t xml:space="preserve">, </w:t>
      </w:r>
    </w:p>
    <w:p w14:paraId="79F72764"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establishing a named individual with lead responsibility for monitoring </w:t>
      </w:r>
      <w:r w:rsidRPr="00C46A5A">
        <w:rPr>
          <w:rFonts w:eastAsia="Times New Roman" w:cstheme="minorHAnsi"/>
          <w:color w:val="110A1D"/>
          <w:lang w:eastAsia="en-GB"/>
        </w:rPr>
        <w:t xml:space="preserve">external </w:t>
      </w:r>
      <w:r w:rsidRPr="00356E07">
        <w:rPr>
          <w:rFonts w:eastAsia="Times New Roman" w:cstheme="minorHAnsi"/>
          <w:color w:val="110A1D"/>
          <w:lang w:eastAsia="en-GB"/>
        </w:rPr>
        <w:t>compliance;</w:t>
      </w:r>
      <w:r w:rsidRPr="00C46A5A">
        <w:rPr>
          <w:rFonts w:eastAsia="Times New Roman" w:cstheme="minorHAnsi"/>
          <w:color w:val="110A1D"/>
          <w:lang w:eastAsia="en-GB"/>
        </w:rPr>
        <w:t xml:space="preserve"> NISQ External Centre Verifier</w:t>
      </w:r>
    </w:p>
    <w:p w14:paraId="19AF122E"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developing clear reporting requirements with the third</w:t>
      </w:r>
      <w:r w:rsidRPr="00C46A5A">
        <w:rPr>
          <w:rFonts w:eastAsia="Times New Roman" w:cstheme="minorHAnsi"/>
          <w:color w:val="110A1D"/>
          <w:lang w:eastAsia="en-GB"/>
        </w:rPr>
        <w:t>-</w:t>
      </w:r>
      <w:r w:rsidRPr="00356E07">
        <w:rPr>
          <w:rFonts w:eastAsia="Times New Roman" w:cstheme="minorHAnsi"/>
          <w:color w:val="110A1D"/>
          <w:lang w:eastAsia="en-GB"/>
        </w:rPr>
        <w:t>party and regularly reviewing progress against pre-agreed performance, quality assurance and compliance targets;</w:t>
      </w:r>
      <w:r w:rsidR="006E4DE6" w:rsidRPr="00C46A5A">
        <w:rPr>
          <w:rFonts w:eastAsia="Times New Roman" w:cstheme="minorHAnsi"/>
          <w:color w:val="110A1D"/>
          <w:lang w:eastAsia="en-GB"/>
        </w:rPr>
        <w:t xml:space="preserve"> Visitations NISQ 10v</w:t>
      </w:r>
    </w:p>
    <w:p w14:paraId="6C592315"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defining how monitoring will be carried out, including establishing an appropriate frequency for monitoring based on an assessment of the risk posed by the </w:t>
      </w:r>
      <w:r w:rsidRPr="00C46A5A">
        <w:rPr>
          <w:rFonts w:eastAsia="Times New Roman" w:cstheme="minorHAnsi"/>
          <w:color w:val="110A1D"/>
          <w:lang w:eastAsia="en-GB"/>
        </w:rPr>
        <w:t xml:space="preserve">third-party </w:t>
      </w:r>
      <w:r w:rsidRPr="00356E07">
        <w:rPr>
          <w:rFonts w:eastAsia="Times New Roman" w:cstheme="minorHAnsi"/>
          <w:color w:val="110A1D"/>
          <w:lang w:eastAsia="en-GB"/>
        </w:rPr>
        <w:t>activity;</w:t>
      </w:r>
    </w:p>
    <w:p w14:paraId="32A3DB8F"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approving and regularly reviewing </w:t>
      </w:r>
      <w:r w:rsidRPr="00C46A5A">
        <w:rPr>
          <w:rFonts w:eastAsia="Times New Roman" w:cstheme="minorHAnsi"/>
          <w:color w:val="110A1D"/>
          <w:lang w:eastAsia="en-GB"/>
        </w:rPr>
        <w:t xml:space="preserve">third party </w:t>
      </w:r>
      <w:r w:rsidRPr="00356E07">
        <w:rPr>
          <w:rFonts w:eastAsia="Times New Roman" w:cstheme="minorHAnsi"/>
          <w:color w:val="110A1D"/>
          <w:lang w:eastAsia="en-GB"/>
        </w:rPr>
        <w:t xml:space="preserve">compliance </w:t>
      </w:r>
      <w:r w:rsidRPr="00C46A5A">
        <w:rPr>
          <w:rFonts w:eastAsia="Times New Roman" w:cstheme="minorHAnsi"/>
          <w:color w:val="110A1D"/>
          <w:lang w:eastAsia="en-GB"/>
        </w:rPr>
        <w:t xml:space="preserve">with teaching, </w:t>
      </w:r>
      <w:r w:rsidRPr="00356E07">
        <w:rPr>
          <w:rFonts w:eastAsia="Times New Roman" w:cstheme="minorHAnsi"/>
          <w:color w:val="110A1D"/>
          <w:lang w:eastAsia="en-GB"/>
        </w:rPr>
        <w:t>training, including frequently observing the delivery of this training onsite;</w:t>
      </w:r>
    </w:p>
    <w:p w14:paraId="532ACB66"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authorising content and materials for </w:t>
      </w:r>
      <w:r w:rsidRPr="00C46A5A">
        <w:rPr>
          <w:rFonts w:eastAsia="Times New Roman" w:cstheme="minorHAnsi"/>
          <w:color w:val="110A1D"/>
          <w:lang w:eastAsia="en-GB"/>
        </w:rPr>
        <w:t xml:space="preserve">teaching and </w:t>
      </w:r>
      <w:r w:rsidRPr="00356E07">
        <w:rPr>
          <w:rFonts w:eastAsia="Times New Roman" w:cstheme="minorHAnsi"/>
          <w:color w:val="110A1D"/>
          <w:lang w:eastAsia="en-GB"/>
        </w:rPr>
        <w:t>training;</w:t>
      </w:r>
    </w:p>
    <w:p w14:paraId="2BC9E8B7"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lastRenderedPageBreak/>
        <w:t xml:space="preserve">regularly conducting (and documenting the results of) monitoring, </w:t>
      </w:r>
      <w:r w:rsidRPr="00C46A5A">
        <w:rPr>
          <w:rFonts w:eastAsia="Times New Roman" w:cstheme="minorHAnsi"/>
          <w:color w:val="110A1D"/>
          <w:lang w:eastAsia="en-GB"/>
        </w:rPr>
        <w:t xml:space="preserve">NISQ Approved Centre </w:t>
      </w:r>
      <w:r w:rsidRPr="00356E07">
        <w:rPr>
          <w:rFonts w:eastAsia="Times New Roman" w:cstheme="minorHAnsi"/>
          <w:color w:val="110A1D"/>
          <w:lang w:eastAsia="en-GB"/>
        </w:rPr>
        <w:t xml:space="preserve">visits and/or </w:t>
      </w:r>
      <w:r w:rsidRPr="00C46A5A">
        <w:rPr>
          <w:rFonts w:eastAsia="Times New Roman" w:cstheme="minorHAnsi"/>
          <w:color w:val="110A1D"/>
          <w:lang w:eastAsia="en-GB"/>
        </w:rPr>
        <w:t xml:space="preserve">the </w:t>
      </w:r>
      <w:r w:rsidRPr="00356E07">
        <w:rPr>
          <w:rFonts w:eastAsia="Times New Roman" w:cstheme="minorHAnsi"/>
          <w:color w:val="110A1D"/>
          <w:lang w:eastAsia="en-GB"/>
        </w:rPr>
        <w:t>third party;</w:t>
      </w:r>
    </w:p>
    <w:p w14:paraId="7BF17417"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setting out a clear policy for handling complaints and feedback, including the time frames, procedure for escalating and raising internally, and the transfer of information between </w:t>
      </w:r>
      <w:r w:rsidRPr="00C46A5A">
        <w:rPr>
          <w:rFonts w:eastAsia="Times New Roman" w:cstheme="minorHAnsi"/>
          <w:color w:val="110A1D"/>
          <w:lang w:eastAsia="en-GB"/>
        </w:rPr>
        <w:t xml:space="preserve">NISQ </w:t>
      </w:r>
      <w:r w:rsidRPr="00356E07">
        <w:rPr>
          <w:rFonts w:eastAsia="Times New Roman" w:cstheme="minorHAnsi"/>
          <w:color w:val="110A1D"/>
          <w:lang w:eastAsia="en-GB"/>
        </w:rPr>
        <w:t>and the third- party;</w:t>
      </w:r>
      <w:r w:rsidR="006E4DE6" w:rsidRPr="00C46A5A">
        <w:rPr>
          <w:rFonts w:eastAsia="Times New Roman" w:cstheme="minorHAnsi"/>
          <w:color w:val="110A1D"/>
          <w:lang w:eastAsia="en-GB"/>
        </w:rPr>
        <w:t xml:space="preserve"> NISQ D7 Complaints Policy</w:t>
      </w:r>
    </w:p>
    <w:p w14:paraId="78FF9EB9" w14:textId="77777777" w:rsidR="00356E07" w:rsidRPr="00356E07"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 xml:space="preserve">setting out a clear internal procedure for members of staff to report any concerns they may have regarding </w:t>
      </w:r>
      <w:r w:rsidR="006E4DE6" w:rsidRPr="00C46A5A">
        <w:rPr>
          <w:rFonts w:eastAsia="Times New Roman" w:cstheme="minorHAnsi"/>
          <w:color w:val="110A1D"/>
          <w:lang w:eastAsia="en-GB"/>
        </w:rPr>
        <w:t>the Third Party. NISQ D10 Whistle Blowing Policy</w:t>
      </w:r>
    </w:p>
    <w:p w14:paraId="01790F87" w14:textId="77777777" w:rsidR="00356E07" w:rsidRPr="00C46A5A" w:rsidRDefault="00356E07" w:rsidP="00356E07">
      <w:pPr>
        <w:numPr>
          <w:ilvl w:val="0"/>
          <w:numId w:val="1"/>
        </w:numPr>
        <w:spacing w:before="240" w:after="100" w:afterAutospacing="1" w:line="240" w:lineRule="auto"/>
        <w:rPr>
          <w:rFonts w:eastAsia="Times New Roman" w:cstheme="minorHAnsi"/>
          <w:color w:val="110A1D"/>
          <w:lang w:eastAsia="en-GB"/>
        </w:rPr>
      </w:pPr>
      <w:r w:rsidRPr="00356E07">
        <w:rPr>
          <w:rFonts w:eastAsia="Times New Roman" w:cstheme="minorHAnsi"/>
          <w:color w:val="110A1D"/>
          <w:lang w:eastAsia="en-GB"/>
        </w:rPr>
        <w:t>agreeing an action plan with the third</w:t>
      </w:r>
      <w:r w:rsidR="006E4DE6" w:rsidRPr="00C46A5A">
        <w:rPr>
          <w:rFonts w:eastAsia="Times New Roman" w:cstheme="minorHAnsi"/>
          <w:color w:val="110A1D"/>
          <w:lang w:eastAsia="en-GB"/>
        </w:rPr>
        <w:t>-</w:t>
      </w:r>
      <w:r w:rsidRPr="00356E07">
        <w:rPr>
          <w:rFonts w:eastAsia="Times New Roman" w:cstheme="minorHAnsi"/>
          <w:color w:val="110A1D"/>
          <w:lang w:eastAsia="en-GB"/>
        </w:rPr>
        <w:t>party to address any concerns, where these are identifie</w:t>
      </w:r>
      <w:r w:rsidR="006E4DE6" w:rsidRPr="00C46A5A">
        <w:rPr>
          <w:rFonts w:eastAsia="Times New Roman" w:cstheme="minorHAnsi"/>
          <w:color w:val="110A1D"/>
          <w:lang w:eastAsia="en-GB"/>
        </w:rPr>
        <w:t xml:space="preserve">d, through the NISQ Approval Panel </w:t>
      </w:r>
    </w:p>
    <w:p w14:paraId="1C556C50" w14:textId="77777777" w:rsidR="006E4DE6" w:rsidRPr="00C46A5A" w:rsidRDefault="006E4DE6" w:rsidP="00356E07">
      <w:pPr>
        <w:numPr>
          <w:ilvl w:val="0"/>
          <w:numId w:val="1"/>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Put in place a signed agreement outlining the use or representation of NISQ Qualifications – NISQ 01 NISQ Centre Director. Head of Organisation Commitment</w:t>
      </w:r>
    </w:p>
    <w:p w14:paraId="1428EA5F" w14:textId="77777777" w:rsidR="006E4DE6" w:rsidRPr="00C46A5A" w:rsidRDefault="006E4DE6" w:rsidP="006E4DE6">
      <w:pPr>
        <w:ind w:left="360"/>
        <w:rPr>
          <w:rFonts w:eastAsia="Times New Roman" w:cstheme="minorHAnsi"/>
          <w:color w:val="110A1D"/>
          <w:lang w:eastAsia="en-GB"/>
        </w:rPr>
      </w:pPr>
      <w:r w:rsidRPr="00C46A5A">
        <w:rPr>
          <w:rFonts w:eastAsia="Times New Roman" w:cstheme="minorHAnsi"/>
          <w:color w:val="110A1D"/>
          <w:lang w:eastAsia="en-GB"/>
        </w:rPr>
        <w:t>“The Centre will not through advertising or any other activity bring the name of NISQ in to disrepute/damage reputation. Or present a Qualification as being Regulated when it is not, misrepresent the NISQ Qualifications in any way that would be considered misleading for learners or users of Qualifications. This is a serious event and will incur a sanction or removal of the NISQ Approval Status.”</w:t>
      </w:r>
    </w:p>
    <w:p w14:paraId="00B3EB10" w14:textId="77777777" w:rsidR="006E4DE6" w:rsidRPr="00C46A5A" w:rsidRDefault="00505C29" w:rsidP="006E4DE6">
      <w:pPr>
        <w:spacing w:before="240" w:after="100" w:afterAutospacing="1" w:line="240" w:lineRule="auto"/>
        <w:rPr>
          <w:rFonts w:eastAsia="Times New Roman" w:cstheme="minorHAnsi"/>
          <w:color w:val="110A1D"/>
          <w:sz w:val="44"/>
          <w:szCs w:val="44"/>
          <w:lang w:eastAsia="en-GB"/>
        </w:rPr>
      </w:pPr>
      <w:r>
        <w:rPr>
          <w:rFonts w:eastAsia="Times New Roman" w:cstheme="minorHAnsi"/>
          <w:color w:val="110A1D"/>
          <w:sz w:val="44"/>
          <w:szCs w:val="44"/>
          <w:lang w:eastAsia="en-GB"/>
        </w:rPr>
        <w:t>2.</w:t>
      </w:r>
      <w:r w:rsidR="006E4DE6" w:rsidRPr="00C46A5A">
        <w:rPr>
          <w:rFonts w:eastAsia="Times New Roman" w:cstheme="minorHAnsi"/>
          <w:color w:val="110A1D"/>
          <w:sz w:val="44"/>
          <w:szCs w:val="44"/>
          <w:lang w:eastAsia="en-GB"/>
        </w:rPr>
        <w:t xml:space="preserve">Third Parties </w:t>
      </w:r>
    </w:p>
    <w:p w14:paraId="114D648C" w14:textId="77777777" w:rsidR="006E4DE6" w:rsidRPr="00C46A5A" w:rsidRDefault="006E4DE6" w:rsidP="006E4DE6">
      <w:p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 xml:space="preserve">Must not </w:t>
      </w:r>
      <w:r w:rsidR="00523E43" w:rsidRPr="00C46A5A">
        <w:rPr>
          <w:rFonts w:eastAsia="Times New Roman" w:cstheme="minorHAnsi"/>
          <w:color w:val="110A1D"/>
          <w:lang w:eastAsia="en-GB"/>
        </w:rPr>
        <w:t>mis-</w:t>
      </w:r>
      <w:r w:rsidRPr="00C46A5A">
        <w:rPr>
          <w:rFonts w:eastAsia="Times New Roman" w:cstheme="minorHAnsi"/>
          <w:color w:val="110A1D"/>
          <w:lang w:eastAsia="en-GB"/>
        </w:rPr>
        <w:t xml:space="preserve">represent NISQ or NISQ Qualifications, either through a person connected to the third party or in a statement, including advertising and comments on any internet blog or </w:t>
      </w:r>
      <w:r w:rsidR="00523E43" w:rsidRPr="00C46A5A">
        <w:rPr>
          <w:rFonts w:eastAsia="Times New Roman" w:cstheme="minorHAnsi"/>
          <w:color w:val="110A1D"/>
          <w:lang w:eastAsia="en-GB"/>
        </w:rPr>
        <w:t xml:space="preserve">through </w:t>
      </w:r>
      <w:r w:rsidR="00DF66C3">
        <w:rPr>
          <w:rFonts w:eastAsia="Times New Roman" w:cstheme="minorHAnsi"/>
          <w:color w:val="110A1D"/>
          <w:lang w:eastAsia="en-GB"/>
        </w:rPr>
        <w:t xml:space="preserve">social </w:t>
      </w:r>
      <w:r w:rsidRPr="00C46A5A">
        <w:rPr>
          <w:rFonts w:eastAsia="Times New Roman" w:cstheme="minorHAnsi"/>
          <w:color w:val="110A1D"/>
          <w:lang w:eastAsia="en-GB"/>
        </w:rPr>
        <w:t>media</w:t>
      </w:r>
      <w:r w:rsidR="00523E43" w:rsidRPr="00C46A5A">
        <w:rPr>
          <w:rFonts w:eastAsia="Times New Roman" w:cstheme="minorHAnsi"/>
          <w:color w:val="110A1D"/>
          <w:lang w:eastAsia="en-GB"/>
        </w:rPr>
        <w:t xml:space="preserve">. </w:t>
      </w:r>
    </w:p>
    <w:p w14:paraId="611712A2" w14:textId="77777777" w:rsidR="00523E43" w:rsidRPr="00C46A5A" w:rsidRDefault="00523E43" w:rsidP="006E4DE6">
      <w:p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This includes but not limited to;</w:t>
      </w:r>
    </w:p>
    <w:p w14:paraId="4D32AE49"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Misrepresenting the relationship between the third party and NISQ,</w:t>
      </w:r>
    </w:p>
    <w:p w14:paraId="2C5513C4"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Endorsement of any teaching and training methodology as being endorsed by NISQ when it does not,</w:t>
      </w:r>
    </w:p>
    <w:p w14:paraId="56E41999"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Advertising a Qualification as being an NISQ Regulated Qualification when it is not,</w:t>
      </w:r>
    </w:p>
    <w:p w14:paraId="07B6E2CB"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Endorsing a Resource as being endorsed by NISQ when it is not,</w:t>
      </w:r>
    </w:p>
    <w:p w14:paraId="0E2741EB"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Using the NISQ Logo in a way that has not been permitted or changing the way the NISQ Logo looks in any way,</w:t>
      </w:r>
    </w:p>
    <w:p w14:paraId="13188261"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Advertise themselves as being a NISQ Approved Centre before being Approved by NISQ,</w:t>
      </w:r>
    </w:p>
    <w:p w14:paraId="2E4E8AF2" w14:textId="77777777" w:rsidR="00523E43" w:rsidRPr="00C46A5A" w:rsidRDefault="00523E43" w:rsidP="00523E43">
      <w:pPr>
        <w:pStyle w:val="ListParagraph"/>
        <w:numPr>
          <w:ilvl w:val="0"/>
          <w:numId w:val="2"/>
        </w:num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Advertise being able to deliver a specific NISQ Regulated Qualifications when it has not been approved to,</w:t>
      </w:r>
    </w:p>
    <w:p w14:paraId="1635393D" w14:textId="77777777" w:rsidR="00523E43" w:rsidRDefault="00505C29" w:rsidP="00523E43">
      <w:pPr>
        <w:spacing w:before="240" w:after="100" w:afterAutospacing="1" w:line="240" w:lineRule="auto"/>
        <w:rPr>
          <w:rFonts w:eastAsia="Times New Roman" w:cstheme="minorHAnsi"/>
          <w:color w:val="110A1D"/>
          <w:sz w:val="44"/>
          <w:szCs w:val="44"/>
          <w:lang w:eastAsia="en-GB"/>
        </w:rPr>
      </w:pPr>
      <w:r>
        <w:rPr>
          <w:rFonts w:eastAsia="Times New Roman" w:cstheme="minorHAnsi"/>
          <w:color w:val="110A1D"/>
          <w:sz w:val="44"/>
          <w:szCs w:val="44"/>
          <w:lang w:eastAsia="en-GB"/>
        </w:rPr>
        <w:t>3.</w:t>
      </w:r>
      <w:r w:rsidR="00523E43" w:rsidRPr="00C46A5A">
        <w:rPr>
          <w:rFonts w:eastAsia="Times New Roman" w:cstheme="minorHAnsi"/>
          <w:color w:val="110A1D"/>
          <w:sz w:val="44"/>
          <w:szCs w:val="44"/>
          <w:lang w:eastAsia="en-GB"/>
        </w:rPr>
        <w:t xml:space="preserve">Sanctions </w:t>
      </w:r>
    </w:p>
    <w:p w14:paraId="12E18C0A" w14:textId="77777777" w:rsidR="00C46A5A" w:rsidRPr="00C46A5A" w:rsidRDefault="00C46A5A" w:rsidP="00523E43">
      <w:pPr>
        <w:spacing w:before="240" w:after="100" w:afterAutospacing="1" w:line="240" w:lineRule="auto"/>
        <w:rPr>
          <w:rFonts w:eastAsia="Times New Roman" w:cstheme="minorHAnsi"/>
          <w:color w:val="110A1D"/>
          <w:lang w:eastAsia="en-GB"/>
        </w:rPr>
      </w:pPr>
      <w:r w:rsidRPr="00C46A5A">
        <w:rPr>
          <w:rFonts w:eastAsia="Times New Roman" w:cstheme="minorHAnsi"/>
          <w:color w:val="110A1D"/>
          <w:lang w:eastAsia="en-GB"/>
        </w:rPr>
        <w:t>NISQ D18 Sanctions Policy</w:t>
      </w:r>
    </w:p>
    <w:p w14:paraId="71C61BEB" w14:textId="77777777" w:rsidR="00C46A5A" w:rsidRDefault="00C46A5A" w:rsidP="00C46A5A">
      <w:pPr>
        <w:spacing w:after="0"/>
      </w:pPr>
      <w:r>
        <w:t xml:space="preserve">Sanctions are actions typically taken to influence conduct.   If the assessments of a qualification or the associated quality assurance procedures are compromised and a breach of an agreement, policy or regulation has occurred, NISQ will apply sanctions.   The primary aims of applying sanctions are to:  </w:t>
      </w:r>
    </w:p>
    <w:p w14:paraId="582A00BA" w14:textId="77777777" w:rsidR="00C46A5A" w:rsidRDefault="00C46A5A" w:rsidP="00C46A5A">
      <w:pPr>
        <w:spacing w:after="0"/>
      </w:pPr>
      <w:r>
        <w:t xml:space="preserve"> </w:t>
      </w:r>
    </w:p>
    <w:p w14:paraId="5E6AD13C" w14:textId="77777777" w:rsidR="00C46A5A" w:rsidRDefault="00C46A5A" w:rsidP="00C46A5A">
      <w:pPr>
        <w:pStyle w:val="ListParagraph"/>
        <w:numPr>
          <w:ilvl w:val="0"/>
          <w:numId w:val="3"/>
        </w:numPr>
        <w:spacing w:after="0"/>
      </w:pPr>
      <w:r>
        <w:lastRenderedPageBreak/>
        <w:t xml:space="preserve">Protect and minimise the risk to the integrity of NISQ Regulated Qualifications and/or the quality assurance process. </w:t>
      </w:r>
    </w:p>
    <w:p w14:paraId="42E9D9B1" w14:textId="77777777" w:rsidR="00C46A5A" w:rsidRDefault="00C46A5A" w:rsidP="00C46A5A">
      <w:pPr>
        <w:pStyle w:val="ListParagraph"/>
        <w:numPr>
          <w:ilvl w:val="0"/>
          <w:numId w:val="3"/>
        </w:numPr>
        <w:spacing w:after="0"/>
      </w:pPr>
      <w:r>
        <w:t xml:space="preserve">Protect all aspects of NISQ awarding of results and certificates.  </w:t>
      </w:r>
    </w:p>
    <w:p w14:paraId="20512E8C" w14:textId="77777777" w:rsidR="00C46A5A" w:rsidRDefault="00C46A5A" w:rsidP="00C46A5A">
      <w:pPr>
        <w:pStyle w:val="ListParagraph"/>
        <w:numPr>
          <w:ilvl w:val="0"/>
          <w:numId w:val="3"/>
        </w:numPr>
        <w:spacing w:after="0"/>
      </w:pPr>
      <w:r>
        <w:t>Allow NISQ to investigate suspected maladministration/malpractice while maintaining the integrity of the NISQ Regulated Qualification(s) involved.</w:t>
      </w:r>
    </w:p>
    <w:p w14:paraId="65738321" w14:textId="77777777" w:rsidR="00C46A5A" w:rsidRDefault="00C46A5A" w:rsidP="00C46A5A">
      <w:pPr>
        <w:pStyle w:val="ListParagraph"/>
        <w:numPr>
          <w:ilvl w:val="0"/>
          <w:numId w:val="3"/>
        </w:numPr>
        <w:spacing w:after="0"/>
      </w:pPr>
      <w:r>
        <w:t>Protect the interest of Learners.</w:t>
      </w:r>
    </w:p>
    <w:p w14:paraId="1B7A73C3" w14:textId="77777777" w:rsidR="00C46A5A" w:rsidRDefault="00C46A5A" w:rsidP="00C46A5A">
      <w:pPr>
        <w:pStyle w:val="ListParagraph"/>
        <w:numPr>
          <w:ilvl w:val="0"/>
          <w:numId w:val="3"/>
        </w:numPr>
        <w:spacing w:after="0"/>
      </w:pPr>
      <w:r>
        <w:t xml:space="preserve">Protect public confidence in the NISQ Regulated qualifications.  </w:t>
      </w:r>
    </w:p>
    <w:p w14:paraId="43B7D376" w14:textId="77777777" w:rsidR="00356E07" w:rsidRDefault="00356E07" w:rsidP="00356E07">
      <w:pPr>
        <w:rPr>
          <w:sz w:val="44"/>
          <w:szCs w:val="44"/>
        </w:rPr>
      </w:pPr>
    </w:p>
    <w:p w14:paraId="7E38249D" w14:textId="77777777" w:rsidR="00C46A5A" w:rsidRPr="00C46A5A" w:rsidRDefault="00505C29" w:rsidP="00C46A5A">
      <w:pPr>
        <w:rPr>
          <w:sz w:val="44"/>
          <w:szCs w:val="44"/>
        </w:rPr>
      </w:pPr>
      <w:r>
        <w:rPr>
          <w:sz w:val="44"/>
          <w:szCs w:val="44"/>
        </w:rPr>
        <w:t>4.</w:t>
      </w:r>
      <w:r w:rsidR="00C46A5A" w:rsidRPr="00C46A5A">
        <w:rPr>
          <w:sz w:val="44"/>
          <w:szCs w:val="44"/>
        </w:rPr>
        <w:t xml:space="preserve">Standards </w:t>
      </w:r>
      <w:r>
        <w:rPr>
          <w:sz w:val="44"/>
          <w:szCs w:val="44"/>
        </w:rPr>
        <w:t xml:space="preserve">and Third-Party Security </w:t>
      </w:r>
    </w:p>
    <w:p w14:paraId="4AE19791" w14:textId="77777777" w:rsidR="00C46A5A" w:rsidRPr="00C46A5A" w:rsidRDefault="00C46A5A" w:rsidP="00C46A5A">
      <w:r>
        <w:t xml:space="preserve">NISQ </w:t>
      </w:r>
      <w:r w:rsidRPr="00C46A5A">
        <w:t xml:space="preserve">has </w:t>
      </w:r>
      <w:r w:rsidR="00707F54">
        <w:t xml:space="preserve">created </w:t>
      </w:r>
      <w:r w:rsidRPr="00C46A5A">
        <w:t xml:space="preserve">a set of </w:t>
      </w:r>
      <w:r w:rsidR="00707F54">
        <w:t xml:space="preserve">exacting </w:t>
      </w:r>
      <w:r w:rsidRPr="00C46A5A">
        <w:t xml:space="preserve">standards that should apply to third party suppliers; the most stringent of those standards need to be applied to those </w:t>
      </w:r>
      <w:r w:rsidR="00707F54" w:rsidRPr="00C46A5A">
        <w:t>third-party</w:t>
      </w:r>
      <w:r w:rsidRPr="00C46A5A">
        <w:t xml:space="preserve"> suppliers who have access to information systems, data or the </w:t>
      </w:r>
      <w:r w:rsidR="00707F54">
        <w:t xml:space="preserve">NISQ </w:t>
      </w:r>
      <w:r w:rsidRPr="00C46A5A">
        <w:t xml:space="preserve">network.  </w:t>
      </w:r>
      <w:r w:rsidR="00707F54">
        <w:t xml:space="preserve">NISQ </w:t>
      </w:r>
      <w:r w:rsidRPr="00C46A5A">
        <w:t xml:space="preserve">needs to be assured that the information is as secure as </w:t>
      </w:r>
      <w:r w:rsidR="00707F54" w:rsidRPr="00C46A5A">
        <w:t>possible,</w:t>
      </w:r>
      <w:r w:rsidRPr="00C46A5A">
        <w:t xml:space="preserve"> and access and/or processing is only available to third parties who meet the </w:t>
      </w:r>
      <w:r w:rsidR="00707F54">
        <w:t xml:space="preserve">NISQ </w:t>
      </w:r>
      <w:r w:rsidRPr="00C46A5A">
        <w:t xml:space="preserve">standard.  The following levels can be used as a guide to the required standards for suppliers before entering into contractual agreements: </w:t>
      </w:r>
    </w:p>
    <w:p w14:paraId="4B806B52" w14:textId="77777777" w:rsidR="00C46A5A" w:rsidRPr="00C46A5A" w:rsidRDefault="00C46A5A" w:rsidP="00C46A5A">
      <w:pPr>
        <w:rPr>
          <w:sz w:val="44"/>
          <w:szCs w:val="44"/>
        </w:rPr>
      </w:pPr>
      <w:r w:rsidRPr="00C46A5A">
        <w:rPr>
          <w:sz w:val="44"/>
          <w:szCs w:val="44"/>
        </w:rPr>
        <w:t xml:space="preserve"> </w:t>
      </w:r>
    </w:p>
    <w:tbl>
      <w:tblPr>
        <w:tblStyle w:val="TableGrid"/>
        <w:tblW w:w="0" w:type="auto"/>
        <w:tblLook w:val="04A0" w:firstRow="1" w:lastRow="0" w:firstColumn="1" w:lastColumn="0" w:noHBand="0" w:noVBand="1"/>
      </w:tblPr>
      <w:tblGrid>
        <w:gridCol w:w="3005"/>
        <w:gridCol w:w="3005"/>
        <w:gridCol w:w="3006"/>
      </w:tblGrid>
      <w:tr w:rsidR="00707F54" w14:paraId="105E58CE" w14:textId="77777777" w:rsidTr="00707F54">
        <w:tc>
          <w:tcPr>
            <w:tcW w:w="3005" w:type="dxa"/>
          </w:tcPr>
          <w:p w14:paraId="18A1F3DF" w14:textId="77777777" w:rsidR="00707F54" w:rsidRPr="0019074D" w:rsidRDefault="00707F54" w:rsidP="00707F54">
            <w:pPr>
              <w:rPr>
                <w:sz w:val="44"/>
                <w:szCs w:val="44"/>
              </w:rPr>
            </w:pPr>
            <w:r w:rsidRPr="0019074D">
              <w:rPr>
                <w:sz w:val="44"/>
                <w:szCs w:val="44"/>
              </w:rPr>
              <w:t xml:space="preserve">LEVEL </w:t>
            </w:r>
          </w:p>
        </w:tc>
        <w:tc>
          <w:tcPr>
            <w:tcW w:w="3005" w:type="dxa"/>
          </w:tcPr>
          <w:p w14:paraId="181565A4" w14:textId="77777777" w:rsidR="00707F54" w:rsidRPr="0019074D" w:rsidRDefault="00707F54" w:rsidP="00707F54">
            <w:pPr>
              <w:rPr>
                <w:sz w:val="44"/>
                <w:szCs w:val="44"/>
              </w:rPr>
            </w:pPr>
            <w:r w:rsidRPr="0019074D">
              <w:rPr>
                <w:sz w:val="44"/>
                <w:szCs w:val="44"/>
              </w:rPr>
              <w:t xml:space="preserve">STANDARD </w:t>
            </w:r>
          </w:p>
        </w:tc>
        <w:tc>
          <w:tcPr>
            <w:tcW w:w="3006" w:type="dxa"/>
          </w:tcPr>
          <w:p w14:paraId="07E8FDD4" w14:textId="77777777" w:rsidR="00707F54" w:rsidRPr="0019074D" w:rsidRDefault="00707F54" w:rsidP="00707F54">
            <w:pPr>
              <w:rPr>
                <w:sz w:val="44"/>
                <w:szCs w:val="44"/>
              </w:rPr>
            </w:pPr>
            <w:r w:rsidRPr="0019074D">
              <w:rPr>
                <w:sz w:val="44"/>
                <w:szCs w:val="44"/>
              </w:rPr>
              <w:t xml:space="preserve">GUIDANCE </w:t>
            </w:r>
          </w:p>
        </w:tc>
      </w:tr>
      <w:tr w:rsidR="00707F54" w14:paraId="617F4B80" w14:textId="77777777" w:rsidTr="00505C29">
        <w:tc>
          <w:tcPr>
            <w:tcW w:w="3005" w:type="dxa"/>
            <w:shd w:val="clear" w:color="auto" w:fill="FF0000"/>
          </w:tcPr>
          <w:p w14:paraId="0E817F73" w14:textId="77777777" w:rsidR="00707F54" w:rsidRPr="00707F54" w:rsidRDefault="00707F54" w:rsidP="00356E07">
            <w:r w:rsidRPr="0019074D">
              <w:rPr>
                <w:b/>
              </w:rPr>
              <w:t xml:space="preserve">1 </w:t>
            </w:r>
            <w:r>
              <w:t xml:space="preserve">– considered </w:t>
            </w:r>
            <w:r w:rsidRPr="0019074D">
              <w:rPr>
                <w:b/>
              </w:rPr>
              <w:t>Significant Risk</w:t>
            </w:r>
            <w:r>
              <w:t>, Sanctions and/or suspension or Loss of Approved Status</w:t>
            </w:r>
          </w:p>
        </w:tc>
        <w:tc>
          <w:tcPr>
            <w:tcW w:w="3005" w:type="dxa"/>
            <w:shd w:val="clear" w:color="auto" w:fill="FF0000"/>
          </w:tcPr>
          <w:p w14:paraId="1903237D" w14:textId="77777777" w:rsidR="00707F54" w:rsidRDefault="00707F54" w:rsidP="00707F54">
            <w:r w:rsidRPr="00707F54">
              <w:t xml:space="preserve"> </w:t>
            </w:r>
            <w:r w:rsidRPr="0019074D">
              <w:rPr>
                <w:b/>
              </w:rPr>
              <w:t xml:space="preserve">ESSENTIAL </w:t>
            </w:r>
            <w:r>
              <w:t xml:space="preserve">– NISQ Approved Centres </w:t>
            </w:r>
          </w:p>
          <w:p w14:paraId="28753B8B" w14:textId="77777777" w:rsidR="00707F54" w:rsidRDefault="00707F54" w:rsidP="00707F54">
            <w:r w:rsidRPr="00707F54">
              <w:t xml:space="preserve">i. Data Controller registration with ICO (unless exemption identified) </w:t>
            </w:r>
          </w:p>
          <w:p w14:paraId="347A01C3" w14:textId="77777777" w:rsidR="00707F54" w:rsidRDefault="00707F54" w:rsidP="00707F54">
            <w:r w:rsidRPr="00707F54">
              <w:t xml:space="preserve">ii. Compliance </w:t>
            </w:r>
            <w:r>
              <w:t>with NISQ Data Protection Policy NISQ D17</w:t>
            </w:r>
          </w:p>
          <w:p w14:paraId="47A26D81" w14:textId="77777777" w:rsidR="00707F54" w:rsidRDefault="00707F54" w:rsidP="00707F54">
            <w:r w:rsidRPr="00707F54">
              <w:t>iii. Data processing clauses (where appropriate</w:t>
            </w:r>
            <w:r>
              <w:t>- NISQ eLearners Pathway NISQ GL27</w:t>
            </w:r>
          </w:p>
          <w:p w14:paraId="3D4FDBA2" w14:textId="77777777" w:rsidR="00505C29" w:rsidRPr="00707F54" w:rsidRDefault="00505C29" w:rsidP="00707F54">
            <w:r>
              <w:t>iv. Enhanced Security Clearance Required</w:t>
            </w:r>
          </w:p>
        </w:tc>
        <w:tc>
          <w:tcPr>
            <w:tcW w:w="3006" w:type="dxa"/>
            <w:shd w:val="clear" w:color="auto" w:fill="FF0000"/>
          </w:tcPr>
          <w:p w14:paraId="3BA9B3AA" w14:textId="77777777" w:rsidR="00707F54" w:rsidRDefault="00707F54" w:rsidP="00707F54">
            <w:pPr>
              <w:pStyle w:val="ListParagraph"/>
              <w:numPr>
                <w:ilvl w:val="0"/>
                <w:numId w:val="4"/>
              </w:numPr>
            </w:pPr>
            <w:r>
              <w:t>Definite access to NISQ Data and/or network</w:t>
            </w:r>
          </w:p>
          <w:p w14:paraId="785E441E" w14:textId="77777777" w:rsidR="00707F54" w:rsidRDefault="00707F54" w:rsidP="00707F54">
            <w:pPr>
              <w:pStyle w:val="ListParagraph"/>
              <w:numPr>
                <w:ilvl w:val="0"/>
                <w:numId w:val="4"/>
              </w:numPr>
            </w:pPr>
            <w:r>
              <w:t xml:space="preserve">Personal identifiable information and/or business critical information </w:t>
            </w:r>
          </w:p>
          <w:p w14:paraId="5368180D" w14:textId="77777777" w:rsidR="00707F54" w:rsidRDefault="00707F54" w:rsidP="00707F54">
            <w:pPr>
              <w:pStyle w:val="ListParagraph"/>
              <w:numPr>
                <w:ilvl w:val="0"/>
                <w:numId w:val="4"/>
              </w:numPr>
            </w:pPr>
            <w:r>
              <w:t xml:space="preserve">Pseudonymised information on a large scale </w:t>
            </w:r>
          </w:p>
          <w:p w14:paraId="5B6F8CF4" w14:textId="77777777" w:rsidR="00707F54" w:rsidRPr="00707F54" w:rsidRDefault="00707F54" w:rsidP="00707F54">
            <w:pPr>
              <w:pStyle w:val="ListParagraph"/>
              <w:numPr>
                <w:ilvl w:val="0"/>
                <w:numId w:val="4"/>
              </w:numPr>
            </w:pPr>
            <w:r>
              <w:t>Safeguards need to be applied stringently to maintain security and prevent data loss</w:t>
            </w:r>
          </w:p>
        </w:tc>
      </w:tr>
      <w:tr w:rsidR="00707F54" w14:paraId="452A193E" w14:textId="77777777" w:rsidTr="00505C29">
        <w:tc>
          <w:tcPr>
            <w:tcW w:w="3005" w:type="dxa"/>
            <w:shd w:val="clear" w:color="auto" w:fill="FFC000"/>
          </w:tcPr>
          <w:p w14:paraId="6B8045B0" w14:textId="77777777" w:rsidR="00707F54" w:rsidRDefault="00707F54" w:rsidP="00356E07">
            <w:r w:rsidRPr="0019074D">
              <w:rPr>
                <w:b/>
              </w:rPr>
              <w:t xml:space="preserve">2 </w:t>
            </w:r>
            <w:r>
              <w:t xml:space="preserve">– considered </w:t>
            </w:r>
            <w:r w:rsidR="0019074D">
              <w:t>M</w:t>
            </w:r>
            <w:r w:rsidRPr="0019074D">
              <w:rPr>
                <w:b/>
              </w:rPr>
              <w:t>oderate Risk</w:t>
            </w:r>
            <w:r>
              <w:t xml:space="preserve">, </w:t>
            </w:r>
          </w:p>
          <w:p w14:paraId="32FE6920" w14:textId="77777777" w:rsidR="00707F54" w:rsidRPr="00707F54" w:rsidRDefault="00707F54" w:rsidP="00356E07">
            <w:r w:rsidRPr="00707F54">
              <w:t>Sanctions and/or suspension or Loss of Approved Status</w:t>
            </w:r>
          </w:p>
        </w:tc>
        <w:tc>
          <w:tcPr>
            <w:tcW w:w="3005" w:type="dxa"/>
            <w:shd w:val="clear" w:color="auto" w:fill="FFC000"/>
          </w:tcPr>
          <w:p w14:paraId="6513B196" w14:textId="77777777" w:rsidR="00707F54" w:rsidRPr="0019074D" w:rsidRDefault="00707F54" w:rsidP="00356E07">
            <w:pPr>
              <w:rPr>
                <w:b/>
              </w:rPr>
            </w:pPr>
            <w:r w:rsidRPr="0019074D">
              <w:rPr>
                <w:b/>
              </w:rPr>
              <w:t>Potential</w:t>
            </w:r>
            <w:r w:rsidR="0019074D">
              <w:rPr>
                <w:b/>
              </w:rPr>
              <w:t xml:space="preserve"> –</w:t>
            </w:r>
            <w:r w:rsidR="0019074D" w:rsidRPr="0019074D">
              <w:t>Third Part</w:t>
            </w:r>
            <w:r w:rsidR="0019074D">
              <w:t xml:space="preserve">ies - </w:t>
            </w:r>
          </w:p>
          <w:p w14:paraId="3F90B3D7" w14:textId="77777777" w:rsidR="0019074D" w:rsidRDefault="0019074D" w:rsidP="0019074D">
            <w:r>
              <w:t>i. Data Controller registration with ICO (unless exemption identified)</w:t>
            </w:r>
          </w:p>
          <w:p w14:paraId="2D500B9C" w14:textId="77777777" w:rsidR="0019074D" w:rsidRDefault="0019074D" w:rsidP="0019074D">
            <w:r>
              <w:t xml:space="preserve"> ii. </w:t>
            </w:r>
            <w:r w:rsidRPr="0019074D">
              <w:t>Compliance with NISQ Data Protection Policy NISQ D17</w:t>
            </w:r>
          </w:p>
          <w:p w14:paraId="72DA249A" w14:textId="77777777" w:rsidR="0019074D" w:rsidRDefault="0019074D" w:rsidP="0019074D">
            <w:r>
              <w:t xml:space="preserve">iii. Data processing clauses (where appropriate) </w:t>
            </w:r>
          </w:p>
          <w:p w14:paraId="35BB2C58" w14:textId="77777777" w:rsidR="00505C29" w:rsidRDefault="00505C29" w:rsidP="0019074D">
            <w:r w:rsidRPr="00505C29">
              <w:t>iv. Enhanced Security Clearance Required</w:t>
            </w:r>
          </w:p>
          <w:p w14:paraId="68A1044F" w14:textId="77777777" w:rsidR="0019074D" w:rsidRDefault="0019074D" w:rsidP="0019074D">
            <w:r>
              <w:t xml:space="preserve"> </w:t>
            </w:r>
          </w:p>
          <w:p w14:paraId="042F2A76" w14:textId="77777777" w:rsidR="0019074D" w:rsidRPr="00707F54" w:rsidRDefault="0019074D" w:rsidP="00356E07"/>
        </w:tc>
        <w:tc>
          <w:tcPr>
            <w:tcW w:w="3006" w:type="dxa"/>
            <w:shd w:val="clear" w:color="auto" w:fill="FFC000"/>
          </w:tcPr>
          <w:p w14:paraId="207CA997" w14:textId="77777777" w:rsidR="0019074D" w:rsidRDefault="0019074D" w:rsidP="0019074D">
            <w:pPr>
              <w:pStyle w:val="ListParagraph"/>
              <w:numPr>
                <w:ilvl w:val="0"/>
                <w:numId w:val="5"/>
              </w:numPr>
            </w:pPr>
            <w:r>
              <w:t>Potential access to network and/or data,</w:t>
            </w:r>
          </w:p>
          <w:p w14:paraId="6982CC96" w14:textId="77777777" w:rsidR="0019074D" w:rsidRDefault="0019074D" w:rsidP="0019074D">
            <w:pPr>
              <w:pStyle w:val="ListParagraph"/>
              <w:numPr>
                <w:ilvl w:val="0"/>
                <w:numId w:val="5"/>
              </w:numPr>
            </w:pPr>
            <w:r>
              <w:t xml:space="preserve">Levels of potential access need to be assessed and the scope of the contract may not be fully understood.   </w:t>
            </w:r>
          </w:p>
          <w:p w14:paraId="59EF8250" w14:textId="77777777" w:rsidR="0019074D" w:rsidRDefault="0019074D" w:rsidP="0019074D">
            <w:pPr>
              <w:pStyle w:val="ListParagraph"/>
              <w:numPr>
                <w:ilvl w:val="0"/>
                <w:numId w:val="5"/>
              </w:numPr>
            </w:pPr>
            <w:r>
              <w:t>Personal identifiable and/or business critical data</w:t>
            </w:r>
          </w:p>
          <w:p w14:paraId="54671F83" w14:textId="77777777" w:rsidR="0019074D" w:rsidRDefault="0019074D" w:rsidP="0019074D">
            <w:pPr>
              <w:pStyle w:val="ListParagraph"/>
              <w:numPr>
                <w:ilvl w:val="0"/>
                <w:numId w:val="5"/>
              </w:numPr>
            </w:pPr>
            <w:r>
              <w:lastRenderedPageBreak/>
              <w:t xml:space="preserve">Pseudonymised data depending on scope and quantity </w:t>
            </w:r>
          </w:p>
          <w:p w14:paraId="1330C660" w14:textId="77777777" w:rsidR="0019074D" w:rsidRDefault="0019074D" w:rsidP="0019074D">
            <w:r>
              <w:t xml:space="preserve"> </w:t>
            </w:r>
          </w:p>
          <w:p w14:paraId="513705EC" w14:textId="77777777" w:rsidR="0019074D" w:rsidRDefault="0019074D" w:rsidP="0019074D">
            <w:r>
              <w:t xml:space="preserve">NISQ Qualification Division will be able to assist in understanding the standards that will be required, usually all requirements will be valid as safeguarding NISQ network and data is essential and the ability to access poses a risk that requires mitigation.  </w:t>
            </w:r>
          </w:p>
          <w:p w14:paraId="46EB1FA7" w14:textId="77777777" w:rsidR="00707F54" w:rsidRPr="00707F54" w:rsidRDefault="00707F54" w:rsidP="00356E07"/>
        </w:tc>
      </w:tr>
      <w:tr w:rsidR="00707F54" w14:paraId="235A8A75" w14:textId="77777777" w:rsidTr="00505C29">
        <w:tc>
          <w:tcPr>
            <w:tcW w:w="3005" w:type="dxa"/>
            <w:shd w:val="clear" w:color="auto" w:fill="FFFF00"/>
          </w:tcPr>
          <w:p w14:paraId="7B17359D" w14:textId="77777777" w:rsidR="00707F54" w:rsidRPr="0019074D" w:rsidRDefault="0019074D" w:rsidP="00356E07">
            <w:pPr>
              <w:rPr>
                <w:b/>
              </w:rPr>
            </w:pPr>
            <w:r w:rsidRPr="0019074D">
              <w:rPr>
                <w:b/>
              </w:rPr>
              <w:lastRenderedPageBreak/>
              <w:t xml:space="preserve">3 </w:t>
            </w:r>
            <w:r>
              <w:t xml:space="preserve">– Considered </w:t>
            </w:r>
            <w:r w:rsidRPr="0019074D">
              <w:rPr>
                <w:b/>
              </w:rPr>
              <w:t>Minor Risk</w:t>
            </w:r>
          </w:p>
          <w:p w14:paraId="4470BCEC" w14:textId="77777777" w:rsidR="0019074D" w:rsidRPr="00707F54" w:rsidRDefault="0019074D" w:rsidP="00356E07">
            <w:r>
              <w:t>Loss of contract with NISQ</w:t>
            </w:r>
          </w:p>
        </w:tc>
        <w:tc>
          <w:tcPr>
            <w:tcW w:w="3005" w:type="dxa"/>
            <w:shd w:val="clear" w:color="auto" w:fill="FFFF00"/>
          </w:tcPr>
          <w:p w14:paraId="340C915C" w14:textId="77777777" w:rsidR="0019074D" w:rsidRDefault="0019074D" w:rsidP="00356E07">
            <w:r w:rsidRPr="0019074D">
              <w:rPr>
                <w:b/>
              </w:rPr>
              <w:t>ONE REQUIRED</w:t>
            </w:r>
            <w:r w:rsidRPr="0019074D">
              <w:t xml:space="preserve"> </w:t>
            </w:r>
          </w:p>
          <w:p w14:paraId="61315847" w14:textId="77777777" w:rsidR="0019074D" w:rsidRDefault="0019074D" w:rsidP="00356E07">
            <w:r w:rsidRPr="0019074D">
              <w:t>i. Non-disc</w:t>
            </w:r>
            <w:r>
              <w:t>l</w:t>
            </w:r>
            <w:r w:rsidRPr="0019074D">
              <w:t xml:space="preserve">osure clauses in contract or </w:t>
            </w:r>
          </w:p>
          <w:p w14:paraId="3D147E2D" w14:textId="77777777" w:rsidR="00707F54" w:rsidRDefault="0019074D" w:rsidP="00356E07">
            <w:r w:rsidRPr="0019074D">
              <w:t>ii. Confidentiality agreement</w:t>
            </w:r>
          </w:p>
          <w:p w14:paraId="56394AC7" w14:textId="77777777" w:rsidR="00505C29" w:rsidRPr="00707F54" w:rsidRDefault="00505C29" w:rsidP="00356E07">
            <w:r>
              <w:t>iii. Security Clearance Required</w:t>
            </w:r>
          </w:p>
        </w:tc>
        <w:tc>
          <w:tcPr>
            <w:tcW w:w="3006" w:type="dxa"/>
            <w:shd w:val="clear" w:color="auto" w:fill="FFFF00"/>
          </w:tcPr>
          <w:p w14:paraId="6EF6AA9A" w14:textId="77777777" w:rsidR="0019074D" w:rsidRDefault="0019074D" w:rsidP="0019074D">
            <w:pPr>
              <w:pStyle w:val="ListParagraph"/>
              <w:numPr>
                <w:ilvl w:val="0"/>
                <w:numId w:val="6"/>
              </w:numPr>
            </w:pPr>
            <w:r w:rsidRPr="0019074D">
              <w:t xml:space="preserve">Incidental access (e.g. window cleaning, maintenance) </w:t>
            </w:r>
          </w:p>
          <w:p w14:paraId="07FBCEE2" w14:textId="77777777" w:rsidR="0019074D" w:rsidRDefault="0019074D" w:rsidP="0019074D">
            <w:pPr>
              <w:pStyle w:val="ListParagraph"/>
              <w:numPr>
                <w:ilvl w:val="0"/>
                <w:numId w:val="6"/>
              </w:numPr>
            </w:pPr>
            <w:r w:rsidRPr="0019074D">
              <w:t xml:space="preserve">Access to pseudonymised / anonymised data  </w:t>
            </w:r>
          </w:p>
          <w:p w14:paraId="623C6E2B" w14:textId="77777777" w:rsidR="0019074D" w:rsidRPr="0019074D" w:rsidRDefault="0019074D" w:rsidP="0019074D">
            <w:pPr>
              <w:pStyle w:val="ListParagraph"/>
              <w:numPr>
                <w:ilvl w:val="0"/>
                <w:numId w:val="6"/>
              </w:numPr>
            </w:pPr>
            <w:r w:rsidRPr="0019074D">
              <w:t xml:space="preserve">On site presence / no direct access to data / network </w:t>
            </w:r>
          </w:p>
          <w:p w14:paraId="435B5F0F" w14:textId="77777777" w:rsidR="00707F54" w:rsidRPr="00707F54" w:rsidRDefault="00707F54" w:rsidP="00356E07"/>
        </w:tc>
      </w:tr>
      <w:tr w:rsidR="0019074D" w14:paraId="583EC9C7" w14:textId="77777777" w:rsidTr="00505C29">
        <w:tc>
          <w:tcPr>
            <w:tcW w:w="3005" w:type="dxa"/>
            <w:shd w:val="clear" w:color="auto" w:fill="92D050"/>
          </w:tcPr>
          <w:p w14:paraId="637E7355" w14:textId="77777777" w:rsidR="0019074D" w:rsidRPr="00707F54" w:rsidRDefault="0019074D" w:rsidP="00356E07">
            <w:r w:rsidRPr="0019074D">
              <w:rPr>
                <w:b/>
              </w:rPr>
              <w:t>4.</w:t>
            </w:r>
            <w:r>
              <w:t xml:space="preserve"> considered </w:t>
            </w:r>
            <w:r w:rsidRPr="0019074D">
              <w:rPr>
                <w:b/>
              </w:rPr>
              <w:t>No Risk</w:t>
            </w:r>
          </w:p>
        </w:tc>
        <w:tc>
          <w:tcPr>
            <w:tcW w:w="3005" w:type="dxa"/>
            <w:shd w:val="clear" w:color="auto" w:fill="92D050"/>
          </w:tcPr>
          <w:p w14:paraId="051B7300" w14:textId="77777777" w:rsidR="0019074D" w:rsidRDefault="0019074D" w:rsidP="00356E07">
            <w:r>
              <w:t>NO Compliance Standards Requirements</w:t>
            </w:r>
          </w:p>
          <w:p w14:paraId="091788CA" w14:textId="77777777" w:rsidR="00505C29" w:rsidRPr="00707F54" w:rsidRDefault="00505C29" w:rsidP="00356E07"/>
        </w:tc>
        <w:tc>
          <w:tcPr>
            <w:tcW w:w="3006" w:type="dxa"/>
            <w:shd w:val="clear" w:color="auto" w:fill="92D050"/>
          </w:tcPr>
          <w:p w14:paraId="66E7734A" w14:textId="77777777" w:rsidR="0019074D" w:rsidRPr="00707F54" w:rsidRDefault="0019074D" w:rsidP="00356E07">
            <w:r>
              <w:t xml:space="preserve">No access will </w:t>
            </w:r>
            <w:r w:rsidR="00505C29">
              <w:t>occur;</w:t>
            </w:r>
            <w:r>
              <w:t xml:space="preserve"> </w:t>
            </w:r>
            <w:r w:rsidR="00505C29">
              <w:t>therefore,</w:t>
            </w:r>
            <w:r>
              <w:t xml:space="preserve"> compliance is not required</w:t>
            </w:r>
          </w:p>
        </w:tc>
      </w:tr>
    </w:tbl>
    <w:p w14:paraId="7BCFC6B5" w14:textId="77777777" w:rsidR="00C46A5A" w:rsidRDefault="00C46A5A" w:rsidP="00356E07">
      <w:pPr>
        <w:rPr>
          <w:sz w:val="44"/>
          <w:szCs w:val="44"/>
        </w:rPr>
      </w:pPr>
    </w:p>
    <w:p w14:paraId="6D0711C6" w14:textId="77777777" w:rsidR="00505C29" w:rsidRDefault="00505C29" w:rsidP="00356E07">
      <w:pPr>
        <w:rPr>
          <w:sz w:val="44"/>
          <w:szCs w:val="44"/>
        </w:rPr>
      </w:pPr>
      <w:r>
        <w:rPr>
          <w:sz w:val="44"/>
          <w:szCs w:val="44"/>
        </w:rPr>
        <w:t>5 Compliance Explained</w:t>
      </w:r>
    </w:p>
    <w:p w14:paraId="4341DB3B" w14:textId="77777777" w:rsidR="00505C29" w:rsidRDefault="00505C29" w:rsidP="00505C29">
      <w:r>
        <w:t xml:space="preserve">Data Controller Registration  </w:t>
      </w:r>
    </w:p>
    <w:p w14:paraId="50843B7A" w14:textId="77777777" w:rsidR="00505C29" w:rsidRDefault="00505C29" w:rsidP="00505C29">
      <w:r>
        <w:t xml:space="preserve"> The Information Commissioners Office (ICO) hold a register of Data Controllers; the Data Protection Act, 1998 s1 details the following definitions: </w:t>
      </w:r>
    </w:p>
    <w:p w14:paraId="7BEA9760" w14:textId="77777777" w:rsidR="00505C29" w:rsidRDefault="00505C29" w:rsidP="00505C29">
      <w:pPr>
        <w:pStyle w:val="ListParagraph"/>
        <w:numPr>
          <w:ilvl w:val="0"/>
          <w:numId w:val="7"/>
        </w:numPr>
      </w:pPr>
      <w:r>
        <w:t xml:space="preserve">“data controller” means, subject to subsection (4), a person who (either alone or jointly or in common with other persons) determines the purposes for which and the </w:t>
      </w:r>
      <w:proofErr w:type="gramStart"/>
      <w:r>
        <w:t>manner in which</w:t>
      </w:r>
      <w:proofErr w:type="gramEnd"/>
      <w:r>
        <w:t xml:space="preserve"> any personal data are, or are to be, processed;  </w:t>
      </w:r>
    </w:p>
    <w:p w14:paraId="71BE38D4" w14:textId="77777777" w:rsidR="00505C29" w:rsidRDefault="00505C29" w:rsidP="00505C29">
      <w:pPr>
        <w:pStyle w:val="ListParagraph"/>
        <w:numPr>
          <w:ilvl w:val="0"/>
          <w:numId w:val="7"/>
        </w:numPr>
      </w:pPr>
      <w:r>
        <w:t xml:space="preserve">“data processor”, in relation to personal data, means any person (other than an employee of the data controller) who processes the data on behalf of the data controller;  </w:t>
      </w:r>
    </w:p>
    <w:p w14:paraId="29972011" w14:textId="77777777" w:rsidR="00505C29" w:rsidRDefault="00505C29" w:rsidP="00505C29">
      <w:pPr>
        <w:pStyle w:val="ListParagraph"/>
        <w:numPr>
          <w:ilvl w:val="0"/>
          <w:numId w:val="7"/>
        </w:numPr>
      </w:pPr>
      <w:r>
        <w:t xml:space="preserve">“data subject” means an individual who is the subject of personal data;  </w:t>
      </w:r>
    </w:p>
    <w:p w14:paraId="25B5FA2E" w14:textId="77777777" w:rsidR="00505C29" w:rsidRDefault="00505C29" w:rsidP="00505C29">
      <w:pPr>
        <w:pStyle w:val="ListParagraph"/>
        <w:numPr>
          <w:ilvl w:val="0"/>
          <w:numId w:val="7"/>
        </w:numPr>
      </w:pPr>
      <w:r>
        <w:t xml:space="preserve">“personal data” means data which relate to a living individual who can be identified </w:t>
      </w:r>
    </w:p>
    <w:p w14:paraId="514B6D8F" w14:textId="77777777" w:rsidR="00505C29" w:rsidRDefault="00505C29" w:rsidP="00505C29">
      <w:r>
        <w:t xml:space="preserve">The personal data could include learner, staff and/or client information, a third party should look at their operations as a business and control over information to determine which category they fall into.  If they are not registered but data controller for information this is illegal under the Act.  </w:t>
      </w:r>
    </w:p>
    <w:p w14:paraId="55B6DF4A" w14:textId="77777777" w:rsidR="00505C29" w:rsidRPr="00505C29" w:rsidRDefault="00944A12" w:rsidP="00505C29">
      <w:pPr>
        <w:rPr>
          <w:sz w:val="44"/>
          <w:szCs w:val="44"/>
        </w:rPr>
      </w:pPr>
      <w:r>
        <w:rPr>
          <w:sz w:val="44"/>
          <w:szCs w:val="44"/>
        </w:rPr>
        <w:lastRenderedPageBreak/>
        <w:t xml:space="preserve">6 </w:t>
      </w:r>
      <w:r w:rsidR="00505C29" w:rsidRPr="00505C29">
        <w:rPr>
          <w:sz w:val="44"/>
          <w:szCs w:val="44"/>
        </w:rPr>
        <w:t xml:space="preserve">The ICO count the following as legitimate exemptions: </w:t>
      </w:r>
    </w:p>
    <w:p w14:paraId="63A0F9A4" w14:textId="77777777" w:rsidR="00505C29" w:rsidRDefault="00505C29" w:rsidP="00505C29">
      <w:r>
        <w:t xml:space="preserve">Most organisations that process personal data must notify the ICO of certain details about that processing. However, the Act provides exemptions from notification for organisations that process personal data only for:  </w:t>
      </w:r>
    </w:p>
    <w:p w14:paraId="3195E7AA" w14:textId="77777777" w:rsidR="00505C29" w:rsidRDefault="00505C29" w:rsidP="00505C29">
      <w:pPr>
        <w:pStyle w:val="ListParagraph"/>
        <w:numPr>
          <w:ilvl w:val="0"/>
          <w:numId w:val="8"/>
        </w:numPr>
      </w:pPr>
      <w:r>
        <w:t xml:space="preserve">staff administration (including payroll); </w:t>
      </w:r>
    </w:p>
    <w:p w14:paraId="5EE52B7D" w14:textId="77777777" w:rsidR="00505C29" w:rsidRDefault="00505C29" w:rsidP="00505C29">
      <w:pPr>
        <w:pStyle w:val="ListParagraph"/>
        <w:numPr>
          <w:ilvl w:val="0"/>
          <w:numId w:val="8"/>
        </w:numPr>
      </w:pPr>
      <w:r>
        <w:t xml:space="preserve">advertising, marketing and public relations (in connection with their own business activity); and </w:t>
      </w:r>
    </w:p>
    <w:p w14:paraId="18C2463C" w14:textId="77777777" w:rsidR="00505C29" w:rsidRDefault="00505C29" w:rsidP="00505C29">
      <w:pPr>
        <w:pStyle w:val="ListParagraph"/>
        <w:numPr>
          <w:ilvl w:val="0"/>
          <w:numId w:val="8"/>
        </w:numPr>
      </w:pPr>
      <w:r>
        <w:t xml:space="preserve">accounts and records; </w:t>
      </w:r>
    </w:p>
    <w:p w14:paraId="700D2DE2" w14:textId="77777777" w:rsidR="00505C29" w:rsidRDefault="00505C29" w:rsidP="00505C29">
      <w:pPr>
        <w:pStyle w:val="ListParagraph"/>
        <w:numPr>
          <w:ilvl w:val="0"/>
          <w:numId w:val="8"/>
        </w:numPr>
      </w:pPr>
      <w:r>
        <w:t xml:space="preserve">some not-for-profit organisations; </w:t>
      </w:r>
    </w:p>
    <w:p w14:paraId="44A618E2" w14:textId="77777777" w:rsidR="00505C29" w:rsidRDefault="00505C29" w:rsidP="00505C29">
      <w:pPr>
        <w:pStyle w:val="ListParagraph"/>
        <w:numPr>
          <w:ilvl w:val="0"/>
          <w:numId w:val="8"/>
        </w:numPr>
      </w:pPr>
      <w:r>
        <w:t xml:space="preserve">organisations that process personal data only for maintaining a public register; </w:t>
      </w:r>
    </w:p>
    <w:p w14:paraId="33157197" w14:textId="77777777" w:rsidR="00505C29" w:rsidRDefault="00505C29" w:rsidP="00505C29">
      <w:pPr>
        <w:pStyle w:val="ListParagraph"/>
        <w:numPr>
          <w:ilvl w:val="0"/>
          <w:numId w:val="8"/>
        </w:numPr>
      </w:pPr>
      <w:r>
        <w:t xml:space="preserve">organisations that do not process personal information on computer. </w:t>
      </w:r>
    </w:p>
    <w:p w14:paraId="58B37F60" w14:textId="77777777" w:rsidR="00505C29" w:rsidRDefault="00505C29" w:rsidP="00505C29">
      <w:r w:rsidRPr="00505C29">
        <w:t xml:space="preserve">Please note the difference between a Data Controller and Data Processor needs to be carefully considered and if there is any control over the processing purposes of the information the </w:t>
      </w:r>
      <w:r>
        <w:t>third party</w:t>
      </w:r>
      <w:r w:rsidRPr="00505C29">
        <w:t xml:space="preserve"> must be registered.  </w:t>
      </w:r>
    </w:p>
    <w:p w14:paraId="792A77B0" w14:textId="77777777" w:rsidR="00F020C9" w:rsidRPr="00505C29" w:rsidRDefault="00F020C9" w:rsidP="00505C29"/>
    <w:p w14:paraId="6D3E97C4" w14:textId="3E437D67" w:rsidR="00505C29" w:rsidRDefault="00944A12" w:rsidP="00356E07">
      <w:pPr>
        <w:rPr>
          <w:sz w:val="44"/>
          <w:szCs w:val="44"/>
        </w:rPr>
      </w:pPr>
      <w:r>
        <w:rPr>
          <w:sz w:val="44"/>
          <w:szCs w:val="44"/>
        </w:rPr>
        <w:t xml:space="preserve">7 </w:t>
      </w:r>
      <w:r w:rsidR="00505C29" w:rsidRPr="00505C29">
        <w:rPr>
          <w:sz w:val="44"/>
          <w:szCs w:val="44"/>
        </w:rPr>
        <w:t>Compliance with NIS</w:t>
      </w:r>
      <w:r w:rsidR="00F84EE0">
        <w:rPr>
          <w:sz w:val="44"/>
          <w:szCs w:val="44"/>
        </w:rPr>
        <w:t xml:space="preserve">Q </w:t>
      </w:r>
      <w:bookmarkStart w:id="0" w:name="_GoBack"/>
      <w:bookmarkEnd w:id="0"/>
      <w:r w:rsidR="00F84EE0" w:rsidRPr="00F84EE0">
        <w:rPr>
          <w:sz w:val="44"/>
          <w:szCs w:val="44"/>
        </w:rPr>
        <w:t>Collecting and Protecting Information</w:t>
      </w:r>
      <w:r w:rsidR="00505C29" w:rsidRPr="00505C29">
        <w:rPr>
          <w:sz w:val="44"/>
          <w:szCs w:val="44"/>
        </w:rPr>
        <w:t xml:space="preserve"> Policy NISQ D17</w:t>
      </w:r>
    </w:p>
    <w:p w14:paraId="15512BB9" w14:textId="77777777" w:rsidR="00505C29" w:rsidRPr="00505C29" w:rsidRDefault="00505C29" w:rsidP="00505C29">
      <w:r>
        <w:t xml:space="preserve">Refer to NISQ D17 available from </w:t>
      </w:r>
      <w:hyperlink r:id="rId8" w:history="1">
        <w:r w:rsidRPr="0004738A">
          <w:rPr>
            <w:rStyle w:val="Hyperlink"/>
          </w:rPr>
          <w:t>www.nisq.uk</w:t>
        </w:r>
      </w:hyperlink>
      <w:r>
        <w:t xml:space="preserve"> </w:t>
      </w:r>
      <w:r w:rsidRPr="00505C29">
        <w:t>gives a level of compliance for Information Governance and Security practices</w:t>
      </w:r>
      <w:r w:rsidR="00944A12">
        <w:t xml:space="preserve"> for NISQ Approved Centres and applies to other third parties.</w:t>
      </w:r>
    </w:p>
    <w:p w14:paraId="660712E0" w14:textId="77777777" w:rsidR="00505C29" w:rsidRPr="00505C29" w:rsidRDefault="00505C29" w:rsidP="00356E07">
      <w:pPr>
        <w:rPr>
          <w:sz w:val="44"/>
          <w:szCs w:val="44"/>
        </w:rPr>
      </w:pPr>
    </w:p>
    <w:sectPr w:rsidR="00505C29" w:rsidRPr="00505C29" w:rsidSect="00356E07">
      <w:head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B17B" w14:textId="77777777" w:rsidR="00234C10" w:rsidRDefault="00234C10" w:rsidP="00356E07">
      <w:pPr>
        <w:spacing w:after="0" w:line="240" w:lineRule="auto"/>
      </w:pPr>
      <w:r>
        <w:separator/>
      </w:r>
    </w:p>
  </w:endnote>
  <w:endnote w:type="continuationSeparator" w:id="0">
    <w:p w14:paraId="71E77677" w14:textId="77777777" w:rsidR="00234C10" w:rsidRDefault="00234C10" w:rsidP="0035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F163" w14:textId="77777777" w:rsidR="00234C10" w:rsidRDefault="00234C10" w:rsidP="00356E07">
      <w:pPr>
        <w:spacing w:after="0" w:line="240" w:lineRule="auto"/>
      </w:pPr>
      <w:r>
        <w:separator/>
      </w:r>
    </w:p>
  </w:footnote>
  <w:footnote w:type="continuationSeparator" w:id="0">
    <w:p w14:paraId="4C6AC2F9" w14:textId="77777777" w:rsidR="00234C10" w:rsidRDefault="00234C10" w:rsidP="0035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94EB" w14:textId="77777777" w:rsidR="00356E07" w:rsidRDefault="00356E07" w:rsidP="00356E07">
    <w:pPr>
      <w:pStyle w:val="Header"/>
      <w:jc w:val="center"/>
    </w:pPr>
    <w:r>
      <w:t>NISQ D21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0BF"/>
    <w:multiLevelType w:val="hybridMultilevel"/>
    <w:tmpl w:val="3094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26B09"/>
    <w:multiLevelType w:val="hybridMultilevel"/>
    <w:tmpl w:val="EAC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157DF"/>
    <w:multiLevelType w:val="multilevel"/>
    <w:tmpl w:val="9F2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50D7B"/>
    <w:multiLevelType w:val="hybridMultilevel"/>
    <w:tmpl w:val="CB8E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66145"/>
    <w:multiLevelType w:val="hybridMultilevel"/>
    <w:tmpl w:val="CD96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832AA"/>
    <w:multiLevelType w:val="hybridMultilevel"/>
    <w:tmpl w:val="D9448F3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15:restartNumberingAfterBreak="0">
    <w:nsid w:val="76CF2D6E"/>
    <w:multiLevelType w:val="hybridMultilevel"/>
    <w:tmpl w:val="208E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36AC4"/>
    <w:multiLevelType w:val="hybridMultilevel"/>
    <w:tmpl w:val="4B0440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07"/>
    <w:rsid w:val="001828D4"/>
    <w:rsid w:val="0019074D"/>
    <w:rsid w:val="00234C10"/>
    <w:rsid w:val="00356E07"/>
    <w:rsid w:val="003C463F"/>
    <w:rsid w:val="00505C29"/>
    <w:rsid w:val="00523E43"/>
    <w:rsid w:val="006E4DE6"/>
    <w:rsid w:val="00707F54"/>
    <w:rsid w:val="008C25A6"/>
    <w:rsid w:val="00944A12"/>
    <w:rsid w:val="00C46A5A"/>
    <w:rsid w:val="00DF66C3"/>
    <w:rsid w:val="00F020C9"/>
    <w:rsid w:val="00F8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AED"/>
  <w15:chartTrackingRefBased/>
  <w15:docId w15:val="{26A64470-A02A-4578-9BA2-B6EA3D21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E07"/>
  </w:style>
  <w:style w:type="paragraph" w:styleId="Footer">
    <w:name w:val="footer"/>
    <w:basedOn w:val="Normal"/>
    <w:link w:val="FooterChar"/>
    <w:uiPriority w:val="99"/>
    <w:unhideWhenUsed/>
    <w:rsid w:val="0035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07"/>
  </w:style>
  <w:style w:type="paragraph" w:styleId="ListParagraph">
    <w:name w:val="List Paragraph"/>
    <w:basedOn w:val="Normal"/>
    <w:uiPriority w:val="34"/>
    <w:qFormat/>
    <w:rsid w:val="006E4DE6"/>
    <w:pPr>
      <w:ind w:left="720"/>
      <w:contextualSpacing/>
    </w:pPr>
  </w:style>
  <w:style w:type="table" w:styleId="TableGrid">
    <w:name w:val="Table Grid"/>
    <w:basedOn w:val="TableNormal"/>
    <w:uiPriority w:val="39"/>
    <w:rsid w:val="0070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C29"/>
    <w:rPr>
      <w:color w:val="0563C1" w:themeColor="hyperlink"/>
      <w:u w:val="single"/>
    </w:rPr>
  </w:style>
  <w:style w:type="character" w:styleId="UnresolvedMention">
    <w:name w:val="Unresolved Mention"/>
    <w:basedOn w:val="DefaultParagraphFont"/>
    <w:uiPriority w:val="99"/>
    <w:semiHidden/>
    <w:unhideWhenUsed/>
    <w:rsid w:val="0050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q.uk"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2018-11-12T11:23:00Z</dcterms:created>
  <dcterms:modified xsi:type="dcterms:W3CDTF">2018-11-21T17:12:00Z</dcterms:modified>
</cp:coreProperties>
</file>