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EE9" w:rsidRPr="00F33EE9" w:rsidRDefault="00F33EE9">
      <w:pPr>
        <w:rPr>
          <w:rFonts w:ascii="Calibri" w:hAnsi="Calibri" w:cs="Calibri"/>
          <w:b/>
          <w:sz w:val="36"/>
          <w:szCs w:val="36"/>
        </w:rPr>
      </w:pPr>
      <w:r w:rsidRPr="00F33EE9">
        <w:rPr>
          <w:rFonts w:ascii="Gill Sans MT" w:eastAsia="Gill Sans MT" w:hAnsi="Gill Sans MT" w:cs="Times New Roman"/>
          <w:noProof/>
        </w:rPr>
        <mc:AlternateContent>
          <mc:Choice Requires="wps">
            <w:drawing>
              <wp:anchor distT="45720" distB="45720" distL="114300" distR="114300" simplePos="0" relativeHeight="251659264" behindDoc="0" locked="0" layoutInCell="1" allowOverlap="1" wp14:anchorId="6BA62495" wp14:editId="5FD657FF">
                <wp:simplePos x="0" y="0"/>
                <wp:positionH relativeFrom="margin">
                  <wp:posOffset>0</wp:posOffset>
                </wp:positionH>
                <wp:positionV relativeFrom="paragraph">
                  <wp:posOffset>455295</wp:posOffset>
                </wp:positionV>
                <wp:extent cx="5722620" cy="389890"/>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89890"/>
                        </a:xfrm>
                        <a:prstGeom prst="rect">
                          <a:avLst/>
                        </a:prstGeom>
                        <a:solidFill>
                          <a:schemeClr val="accent4">
                            <a:lumMod val="60000"/>
                            <a:lumOff val="40000"/>
                          </a:schemeClr>
                        </a:solidFill>
                        <a:ln w="9525">
                          <a:solidFill>
                            <a:srgbClr val="000000"/>
                          </a:solidFill>
                          <a:miter lim="800000"/>
                          <a:headEnd/>
                          <a:tailEnd/>
                        </a:ln>
                      </wps:spPr>
                      <wps:txbx>
                        <w:txbxContent>
                          <w:p w:rsidR="00F33EE9" w:rsidRPr="001072C6" w:rsidRDefault="00966306" w:rsidP="00F33EE9">
                            <w:pPr>
                              <w:jc w:val="center"/>
                              <w:rPr>
                                <w:rFonts w:ascii="Calibri" w:hAnsi="Calibri" w:cs="Calibri"/>
                                <w:b/>
                                <w:sz w:val="36"/>
                                <w:szCs w:val="36"/>
                              </w:rPr>
                            </w:pPr>
                            <w:r>
                              <w:rPr>
                                <w:rFonts w:ascii="Calibri" w:hAnsi="Calibri" w:cs="Calibri"/>
                                <w:b/>
                                <w:sz w:val="36"/>
                                <w:szCs w:val="36"/>
                              </w:rPr>
                              <w:t>N.I. Security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62495" id="_x0000_t202" coordsize="21600,21600" o:spt="202" path="m,l,21600r21600,l21600,xe">
                <v:stroke joinstyle="miter"/>
                <v:path gradientshapeok="t" o:connecttype="rect"/>
              </v:shapetype>
              <v:shape id="Text Box 2" o:spid="_x0000_s1026" type="#_x0000_t202" style="position:absolute;margin-left:0;margin-top:35.85pt;width:450.6pt;height:3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" fillcolor="#ffd966 [1943]">
                <v:textbox>
                  <w:txbxContent>
                    <w:p w:rsidR="00F33EE9" w:rsidRPr="001072C6" w:rsidRDefault="00966306" w:rsidP="00F33EE9">
                      <w:pPr>
                        <w:jc w:val="center"/>
                        <w:rPr>
                          <w:rFonts w:ascii="Calibri" w:hAnsi="Calibri" w:cs="Calibri"/>
                          <w:b/>
                          <w:sz w:val="36"/>
                          <w:szCs w:val="36"/>
                        </w:rPr>
                      </w:pPr>
                      <w:r>
                        <w:rPr>
                          <w:rFonts w:ascii="Calibri" w:hAnsi="Calibri" w:cs="Calibri"/>
                          <w:b/>
                          <w:sz w:val="36"/>
                          <w:szCs w:val="36"/>
                        </w:rPr>
                        <w:t>N.I. Security Qualifications</w:t>
                      </w:r>
                    </w:p>
                  </w:txbxContent>
                </v:textbox>
                <w10:wrap type="square" anchorx="margin"/>
              </v:shape>
            </w:pict>
          </mc:Fallback>
        </mc:AlternateContent>
      </w:r>
    </w:p>
    <w:p w:rsidR="00F33EE9" w:rsidRDefault="00F33EE9"/>
    <w:p w:rsidR="00F33EE9" w:rsidRDefault="009A31CF" w:rsidP="009A31CF">
      <w:pPr>
        <w:jc w:val="center"/>
      </w:pPr>
      <w:bookmarkStart w:id="0" w:name="_GoBack"/>
      <w:r>
        <w:rPr>
          <w:noProof/>
        </w:rPr>
        <w:drawing>
          <wp:inline distT="0" distB="0" distL="0" distR="0">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bookmarkEnd w:id="0"/>
    </w:p>
    <w:p w:rsidR="00F33EE9" w:rsidRDefault="00F33EE9"/>
    <w:p w:rsidR="00F33EE9" w:rsidRDefault="00F33EE9"/>
    <w:p w:rsidR="00F33EE9" w:rsidRDefault="00F33EE9"/>
    <w:p w:rsidR="00F33EE9" w:rsidRDefault="00F33EE9"/>
    <w:p w:rsidR="00F33EE9" w:rsidRDefault="00F33EE9"/>
    <w:p w:rsidR="00F33EE9" w:rsidRPr="00F33EE9" w:rsidRDefault="00F33EE9" w:rsidP="00F33EE9">
      <w:pPr>
        <w:spacing w:after="0"/>
        <w:rPr>
          <w:b/>
          <w:sz w:val="40"/>
          <w:szCs w:val="40"/>
        </w:rPr>
      </w:pPr>
      <w:r w:rsidRPr="00F33EE9">
        <w:rPr>
          <w:b/>
          <w:sz w:val="40"/>
          <w:szCs w:val="40"/>
        </w:rPr>
        <w:t>NISQ Whistleblower Policy</w:t>
      </w:r>
    </w:p>
    <w:p w:rsidR="00F33EE9" w:rsidRPr="00F33EE9" w:rsidRDefault="00962159" w:rsidP="00F33EE9">
      <w:pPr>
        <w:spacing w:after="0"/>
      </w:pPr>
      <w:r>
        <w:rPr>
          <w:b/>
          <w:sz w:val="40"/>
          <w:szCs w:val="40"/>
        </w:rPr>
        <w:t>201</w:t>
      </w:r>
      <w:r w:rsidR="005F3B99">
        <w:rPr>
          <w:b/>
          <w:sz w:val="40"/>
          <w:szCs w:val="40"/>
        </w:rPr>
        <w:t>8</w:t>
      </w:r>
      <w:r w:rsidR="0002362B" w:rsidRPr="00F33EE9">
        <w:rPr>
          <w:b/>
          <w:sz w:val="40"/>
          <w:szCs w:val="40"/>
        </w:rPr>
        <w:br w:type="page"/>
      </w:r>
    </w:p>
    <w:p w:rsidR="0002362B" w:rsidRPr="0002362B" w:rsidRDefault="0002362B" w:rsidP="0002362B">
      <w:pPr>
        <w:pStyle w:val="Heading1"/>
      </w:pPr>
      <w:r w:rsidRPr="0002362B">
        <w:lastRenderedPageBreak/>
        <w:t xml:space="preserve">NISQ Whistleblowing Policy </w:t>
      </w:r>
      <w:r w:rsidR="00F33EE9">
        <w:t>Contents</w:t>
      </w:r>
    </w:p>
    <w:p w:rsidR="0002362B" w:rsidRPr="0002362B" w:rsidRDefault="0002362B" w:rsidP="0002362B">
      <w:pPr>
        <w:pStyle w:val="Heading2"/>
      </w:pPr>
      <w:r w:rsidRPr="0002362B">
        <w:t xml:space="preserve">1.0 Introduction </w:t>
      </w:r>
    </w:p>
    <w:p w:rsidR="0002362B" w:rsidRPr="0002362B" w:rsidRDefault="0002362B" w:rsidP="0002362B">
      <w:pPr>
        <w:pStyle w:val="Heading2"/>
      </w:pPr>
      <w:r w:rsidRPr="0002362B">
        <w:t xml:space="preserve">2.0 What is covered by Whistleblowing?  </w:t>
      </w:r>
    </w:p>
    <w:p w:rsidR="0002362B" w:rsidRDefault="0002362B" w:rsidP="0002362B">
      <w:pPr>
        <w:pStyle w:val="Heading2"/>
        <w:rPr>
          <w:b/>
          <w:sz w:val="28"/>
          <w:szCs w:val="28"/>
        </w:rPr>
      </w:pPr>
      <w:r>
        <w:t xml:space="preserve">3.0 </w:t>
      </w:r>
      <w:r w:rsidRPr="004E2236">
        <w:rPr>
          <w:rStyle w:val="Heading2Char"/>
        </w:rPr>
        <w:t>Who Is Covered by the Whistleblowing Procedure</w:t>
      </w:r>
      <w:r w:rsidRPr="00C82C49">
        <w:rPr>
          <w:b/>
          <w:sz w:val="28"/>
          <w:szCs w:val="28"/>
        </w:rPr>
        <w:t xml:space="preserve">? </w:t>
      </w:r>
    </w:p>
    <w:p w:rsidR="0002362B" w:rsidRPr="004E2236" w:rsidRDefault="0002362B" w:rsidP="0002362B">
      <w:pPr>
        <w:pStyle w:val="Heading2"/>
        <w:rPr>
          <w:rStyle w:val="Heading2Char"/>
        </w:rPr>
      </w:pPr>
      <w:r>
        <w:t>4</w:t>
      </w:r>
      <w:r w:rsidRPr="004E2236">
        <w:rPr>
          <w:rStyle w:val="Heading2Char"/>
        </w:rPr>
        <w:t xml:space="preserve">.0 How am I Protected?  </w:t>
      </w:r>
    </w:p>
    <w:p w:rsidR="0002362B" w:rsidRPr="004E2236" w:rsidRDefault="0002362B" w:rsidP="0002362B">
      <w:pPr>
        <w:pStyle w:val="Heading2"/>
        <w:rPr>
          <w:rStyle w:val="Heading2Char"/>
        </w:rPr>
      </w:pPr>
      <w:r w:rsidRPr="00C82C49">
        <w:rPr>
          <w:b/>
          <w:sz w:val="28"/>
          <w:szCs w:val="28"/>
        </w:rPr>
        <w:t xml:space="preserve"> </w:t>
      </w:r>
      <w:r>
        <w:t xml:space="preserve">5.0 </w:t>
      </w:r>
      <w:r w:rsidRPr="004E2236">
        <w:rPr>
          <w:rStyle w:val="Heading2Char"/>
        </w:rPr>
        <w:t xml:space="preserve">Confidentiality </w:t>
      </w:r>
    </w:p>
    <w:p w:rsidR="0002362B" w:rsidRPr="004E2236" w:rsidRDefault="0002362B" w:rsidP="0002362B">
      <w:pPr>
        <w:pStyle w:val="Heading2"/>
        <w:rPr>
          <w:rStyle w:val="Heading2Char"/>
        </w:rPr>
      </w:pPr>
      <w:r>
        <w:t>6.</w:t>
      </w:r>
      <w:r w:rsidRPr="004E2236">
        <w:rPr>
          <w:rStyle w:val="Heading2Char"/>
        </w:rPr>
        <w:t xml:space="preserve">0 Raising a concern </w:t>
      </w:r>
    </w:p>
    <w:p w:rsidR="0002362B" w:rsidRPr="00C82C49" w:rsidRDefault="0002362B" w:rsidP="0002362B">
      <w:pPr>
        <w:pStyle w:val="Heading2"/>
        <w:rPr>
          <w:b/>
          <w:sz w:val="28"/>
          <w:szCs w:val="28"/>
        </w:rPr>
      </w:pPr>
      <w:r>
        <w:t xml:space="preserve">7.0 </w:t>
      </w:r>
      <w:r w:rsidRPr="004E2236">
        <w:rPr>
          <w:rStyle w:val="Heading2Char"/>
        </w:rPr>
        <w:t>Anonymously raised concerns</w:t>
      </w:r>
      <w:r w:rsidRPr="00C82C49">
        <w:rPr>
          <w:b/>
          <w:sz w:val="28"/>
          <w:szCs w:val="28"/>
        </w:rPr>
        <w:t xml:space="preserve"> </w:t>
      </w:r>
    </w:p>
    <w:p w:rsidR="0002362B" w:rsidRPr="0002362B" w:rsidRDefault="0002362B" w:rsidP="0002362B">
      <w:pPr>
        <w:pStyle w:val="Heading2"/>
      </w:pPr>
      <w:r w:rsidRPr="0002362B">
        <w:t xml:space="preserve">8.0 Who can concerns be raised about? </w:t>
      </w:r>
    </w:p>
    <w:p w:rsidR="0002362B" w:rsidRDefault="0002362B" w:rsidP="0002362B">
      <w:pPr>
        <w:pStyle w:val="Heading2"/>
        <w:rPr>
          <w:rStyle w:val="Heading2Char"/>
        </w:rPr>
      </w:pPr>
      <w:r>
        <w:t xml:space="preserve">9.0 </w:t>
      </w:r>
      <w:r w:rsidRPr="004E2236">
        <w:rPr>
          <w:rStyle w:val="Heading2Char"/>
        </w:rPr>
        <w:t xml:space="preserve">How to raise a concern </w:t>
      </w:r>
    </w:p>
    <w:p w:rsidR="0002362B" w:rsidRPr="004E2236" w:rsidRDefault="0002362B" w:rsidP="0002362B">
      <w:pPr>
        <w:pStyle w:val="Heading2"/>
        <w:rPr>
          <w:rStyle w:val="Heading2Char"/>
        </w:rPr>
      </w:pPr>
      <w:r>
        <w:t xml:space="preserve">10.0 </w:t>
      </w:r>
      <w:r w:rsidRPr="004E2236">
        <w:rPr>
          <w:rStyle w:val="Heading2Char"/>
        </w:rPr>
        <w:t xml:space="preserve">Misuse of the Whistleblowing Policy </w:t>
      </w:r>
    </w:p>
    <w:p w:rsidR="0002362B" w:rsidRPr="004E2236" w:rsidRDefault="0002362B" w:rsidP="0002362B">
      <w:pPr>
        <w:pStyle w:val="Heading2"/>
        <w:rPr>
          <w:rStyle w:val="Heading2Char"/>
        </w:rPr>
      </w:pPr>
      <w:r>
        <w:t xml:space="preserve">11.0 </w:t>
      </w:r>
      <w:r w:rsidRPr="004E2236">
        <w:rPr>
          <w:rStyle w:val="Heading2Char"/>
        </w:rPr>
        <w:t xml:space="preserve">Responsible Officer  </w:t>
      </w:r>
    </w:p>
    <w:p w:rsidR="0002362B" w:rsidRPr="004E2236" w:rsidRDefault="0002362B" w:rsidP="0002362B">
      <w:pPr>
        <w:pStyle w:val="Heading2"/>
        <w:rPr>
          <w:rStyle w:val="Heading2Char"/>
        </w:rPr>
      </w:pPr>
      <w:r>
        <w:t>12.</w:t>
      </w:r>
      <w:r w:rsidRPr="004E2236">
        <w:rPr>
          <w:b/>
        </w:rPr>
        <w:t xml:space="preserve">0   </w:t>
      </w:r>
      <w:r w:rsidRPr="004E2236">
        <w:rPr>
          <w:rStyle w:val="Heading2Char"/>
        </w:rPr>
        <w:t xml:space="preserve">The Procedure    </w:t>
      </w:r>
      <w:r w:rsidR="00942987">
        <w:rPr>
          <w:rStyle w:val="Heading2Char"/>
        </w:rPr>
        <w:t xml:space="preserve">        </w:t>
      </w:r>
    </w:p>
    <w:p w:rsidR="0002362B" w:rsidRPr="004E2236" w:rsidRDefault="0002362B" w:rsidP="0002362B">
      <w:pPr>
        <w:pStyle w:val="Heading2"/>
        <w:rPr>
          <w:sz w:val="28"/>
          <w:szCs w:val="28"/>
        </w:rPr>
      </w:pPr>
      <w:r>
        <w:t xml:space="preserve">13.4 </w:t>
      </w:r>
      <w:r w:rsidRPr="004E2236">
        <w:rPr>
          <w:rStyle w:val="Heading2Char"/>
        </w:rPr>
        <w:t>Upon raising a concern:</w:t>
      </w:r>
      <w:r w:rsidRPr="004E2236">
        <w:rPr>
          <w:sz w:val="28"/>
          <w:szCs w:val="28"/>
        </w:rPr>
        <w:t xml:space="preserve"> </w:t>
      </w:r>
    </w:p>
    <w:p w:rsidR="0002362B" w:rsidRPr="004E2236" w:rsidRDefault="0002362B" w:rsidP="0002362B">
      <w:pPr>
        <w:pStyle w:val="Heading2"/>
        <w:rPr>
          <w:rStyle w:val="Heading2Char"/>
        </w:rPr>
      </w:pPr>
      <w:r>
        <w:t xml:space="preserve">14.0 </w:t>
      </w:r>
      <w:r w:rsidRPr="004E2236">
        <w:rPr>
          <w:rStyle w:val="Heading2Char"/>
        </w:rPr>
        <w:t xml:space="preserve">The outcome of your concern </w:t>
      </w:r>
    </w:p>
    <w:p w:rsidR="0002362B" w:rsidRPr="004E2236" w:rsidRDefault="0002362B" w:rsidP="0002362B">
      <w:pPr>
        <w:pStyle w:val="Heading2"/>
        <w:rPr>
          <w:rStyle w:val="Heading2Char"/>
        </w:rPr>
      </w:pPr>
      <w:r>
        <w:t>16.</w:t>
      </w:r>
      <w:r w:rsidRPr="004E2236">
        <w:rPr>
          <w:rStyle w:val="Heading2Char"/>
        </w:rPr>
        <w:t xml:space="preserve">0 Contacting the media </w:t>
      </w:r>
    </w:p>
    <w:p w:rsidR="0002362B" w:rsidRPr="004E2236" w:rsidRDefault="00E54A08" w:rsidP="0002362B">
      <w:pPr>
        <w:pStyle w:val="Heading2"/>
        <w:rPr>
          <w:rStyle w:val="Heading2Char"/>
        </w:rPr>
      </w:pPr>
      <w:r>
        <w:rPr>
          <w:rStyle w:val="Heading2Char"/>
        </w:rPr>
        <w:t>17.0 Risk, Adverse Effect and Review</w:t>
      </w:r>
    </w:p>
    <w:p w:rsidR="0002362B" w:rsidRPr="00C82C49" w:rsidRDefault="0002362B" w:rsidP="0002362B">
      <w:pPr>
        <w:rPr>
          <w:b/>
          <w:sz w:val="28"/>
          <w:szCs w:val="28"/>
        </w:rPr>
      </w:pPr>
    </w:p>
    <w:p w:rsidR="004E2236" w:rsidRDefault="004E2236">
      <w:pPr>
        <w:rPr>
          <w:b/>
          <w:sz w:val="40"/>
          <w:szCs w:val="40"/>
        </w:rPr>
      </w:pPr>
      <w:r>
        <w:rPr>
          <w:b/>
          <w:sz w:val="40"/>
          <w:szCs w:val="40"/>
        </w:rPr>
        <w:br w:type="page"/>
      </w:r>
    </w:p>
    <w:p w:rsidR="008E12CD" w:rsidRPr="004E2236" w:rsidRDefault="008E12CD" w:rsidP="004E2236">
      <w:pPr>
        <w:pStyle w:val="Heading1"/>
      </w:pPr>
      <w:r w:rsidRPr="004E2236">
        <w:lastRenderedPageBreak/>
        <w:t xml:space="preserve">NISQ Whistleblowing Policy </w:t>
      </w:r>
    </w:p>
    <w:p w:rsidR="008E12CD" w:rsidRDefault="008E12CD" w:rsidP="008E12CD">
      <w:r>
        <w:t xml:space="preserve"> </w:t>
      </w:r>
    </w:p>
    <w:p w:rsidR="008E12CD" w:rsidRPr="004E2236" w:rsidRDefault="008E12CD" w:rsidP="004E2236">
      <w:pPr>
        <w:pStyle w:val="Heading2"/>
      </w:pPr>
      <w:r w:rsidRPr="004E2236">
        <w:t xml:space="preserve">1.0 Introduction </w:t>
      </w:r>
    </w:p>
    <w:p w:rsidR="008E12CD" w:rsidRDefault="008E12CD" w:rsidP="008E12CD">
      <w:r>
        <w:t xml:space="preserve"> </w:t>
      </w:r>
    </w:p>
    <w:p w:rsidR="008E12CD" w:rsidRDefault="008E12CD" w:rsidP="008E12CD">
      <w:r>
        <w:t xml:space="preserve">1.1 NISQ is committed to tackling all types of unlawful acts including fraud, bribery, corruption, unethical conduct and malpractice regardless of who commits them, or where they are committed. In this way NISQ ensures that its services are used in the best interests of the local community. </w:t>
      </w:r>
    </w:p>
    <w:p w:rsidR="008E12CD" w:rsidRDefault="008E12CD" w:rsidP="008E12CD">
      <w:r>
        <w:t xml:space="preserve"> </w:t>
      </w:r>
    </w:p>
    <w:p w:rsidR="008E12CD" w:rsidRDefault="008E12CD" w:rsidP="008E12CD">
      <w:r>
        <w:t xml:space="preserve">1.2 The NISQ has Guidelines, which sets out how the NISQ operates, how decisions are made, and the procedures to follow to ensure that these are efficient, transparent and accountable. While some of these processes are required by law, others are a matter for the NISQ to choose. NISQ has a number of rules and regulations within their Guidelines and Terms of Reference to make sure that financial, working and organisational procedures are properly controlled. These are an important part of the internal control processes, and it is important that all members and staff know about them. The most notable are: </w:t>
      </w:r>
    </w:p>
    <w:p w:rsidR="008E12CD" w:rsidRDefault="008E12CD" w:rsidP="008E12CD"/>
    <w:p w:rsidR="008E12CD" w:rsidRDefault="008E12CD" w:rsidP="008E12CD">
      <w:r>
        <w:t xml:space="preserve">1.2   NISQ aims to ensure that anyone wishing to raise a concern feels confident in the process under this Policy. This Policy is designed to allow you to raise a concern without fear of reprisals or victimisation, if your disclosure is made in good faith.  </w:t>
      </w:r>
    </w:p>
    <w:p w:rsidR="008E12CD" w:rsidRDefault="008E12CD" w:rsidP="008E12CD">
      <w:r>
        <w:t xml:space="preserve"> </w:t>
      </w:r>
    </w:p>
    <w:p w:rsidR="008E12CD" w:rsidRDefault="008E12CD" w:rsidP="008E12CD">
      <w:r>
        <w:t>1.3   To encourage and enable you to do this, NISQ will ensure that anyone who uses this Policy to raise a concern will be protected from any form of detriment, harassment o</w:t>
      </w:r>
      <w:r w:rsidR="00F33EE9">
        <w:t xml:space="preserve">r victimisation regardless of: </w:t>
      </w:r>
      <w:r>
        <w:t xml:space="preserve"> </w:t>
      </w:r>
    </w:p>
    <w:p w:rsidR="008E12CD" w:rsidRDefault="008E12CD" w:rsidP="008E12CD">
      <w:pPr>
        <w:pStyle w:val="ListParagraph"/>
        <w:numPr>
          <w:ilvl w:val="0"/>
          <w:numId w:val="2"/>
        </w:numPr>
      </w:pPr>
      <w:r>
        <w:t xml:space="preserve">The content or severity of the concern you raise; </w:t>
      </w:r>
    </w:p>
    <w:p w:rsidR="008E12CD" w:rsidRDefault="008E12CD" w:rsidP="008E12CD">
      <w:pPr>
        <w:pStyle w:val="ListParagraph"/>
        <w:numPr>
          <w:ilvl w:val="0"/>
          <w:numId w:val="2"/>
        </w:numPr>
      </w:pPr>
      <w:r>
        <w:t xml:space="preserve"> With whom you raise the concern; and </w:t>
      </w:r>
    </w:p>
    <w:p w:rsidR="008E12CD" w:rsidRDefault="008E12CD" w:rsidP="008E12CD">
      <w:pPr>
        <w:pStyle w:val="ListParagraph"/>
        <w:numPr>
          <w:ilvl w:val="0"/>
          <w:numId w:val="2"/>
        </w:numPr>
      </w:pPr>
      <w:r>
        <w:t xml:space="preserve">Whatever the outcome of raising the concern.  </w:t>
      </w:r>
    </w:p>
    <w:p w:rsidR="008E12CD" w:rsidRDefault="008E12CD" w:rsidP="008E12CD">
      <w:r>
        <w:t xml:space="preserve"> </w:t>
      </w:r>
    </w:p>
    <w:p w:rsidR="008E12CD" w:rsidRDefault="008E12CD" w:rsidP="008E12CD">
      <w:r>
        <w:t xml:space="preserve">1.4 The Policy provides an opportunity for your concern to be dealt with internally, after all that is where the solutions will be found, or through an agreed external body. </w:t>
      </w:r>
    </w:p>
    <w:p w:rsidR="008E12CD" w:rsidRDefault="008E12CD" w:rsidP="008E12CD">
      <w:r>
        <w:t xml:space="preserve"> </w:t>
      </w:r>
    </w:p>
    <w:p w:rsidR="008E12CD" w:rsidRDefault="008E12CD" w:rsidP="008E12CD">
      <w:r>
        <w:t xml:space="preserve">1.5   There is always a temptation to take a concern directly to the media, but this does not necessarily mean that the issues raised are appropriately addressed and often fails to protect innocent parties. You should remember that you have a duty of confidence to your employer and that unauthorised disclosure of information maybe a disciplinary offence. </w:t>
      </w:r>
    </w:p>
    <w:p w:rsidR="008E12CD" w:rsidRDefault="008E12CD" w:rsidP="008E12CD">
      <w:r>
        <w:t xml:space="preserve"> </w:t>
      </w:r>
    </w:p>
    <w:p w:rsidR="008E12CD" w:rsidRDefault="008E12CD" w:rsidP="008E12CD">
      <w:r>
        <w:t xml:space="preserve">1.6   Staff should consider the repercussions of making disclosures to parties other than </w:t>
      </w:r>
      <w:r w:rsidR="00936A89">
        <w:t xml:space="preserve">the </w:t>
      </w:r>
      <w:proofErr w:type="gramStart"/>
      <w:r w:rsidR="00936A89">
        <w:t xml:space="preserve">designated </w:t>
      </w:r>
      <w:r>
        <w:t xml:space="preserve"> Whistleblowing</w:t>
      </w:r>
      <w:proofErr w:type="gramEnd"/>
      <w:r>
        <w:t xml:space="preserve"> Officer</w:t>
      </w:r>
      <w:r w:rsidR="00936A89">
        <w:t>, this being the Chief Compliance Officer or The Director Qualification Division</w:t>
      </w:r>
      <w:r>
        <w:t xml:space="preserve">.  Where concerns are of a serious/severe nature, it is possible that an </w:t>
      </w:r>
      <w:r>
        <w:lastRenderedPageBreak/>
        <w:t xml:space="preserve">inadvertent or deliberate disclosure to a third party could result in prejudicing a criminal investigation, if such a criminal investigation is warranted. </w:t>
      </w:r>
    </w:p>
    <w:p w:rsidR="008E12CD" w:rsidRDefault="008E12CD" w:rsidP="008E12CD"/>
    <w:p w:rsidR="008E12CD" w:rsidRDefault="008E12CD" w:rsidP="008E12CD">
      <w:r>
        <w:t xml:space="preserve">1.7   The best advice before you decide on what action to take is to seek the advice of one of the </w:t>
      </w:r>
      <w:proofErr w:type="gramStart"/>
      <w:r w:rsidR="00936A89">
        <w:t xml:space="preserve">designated </w:t>
      </w:r>
      <w:r>
        <w:t xml:space="preserve"> Whistleblowing</w:t>
      </w:r>
      <w:proofErr w:type="gramEnd"/>
      <w:r>
        <w:t xml:space="preserve"> Officers</w:t>
      </w:r>
      <w:r w:rsidR="00936A89">
        <w:t xml:space="preserve"> or a specialist Officer.</w:t>
      </w:r>
    </w:p>
    <w:p w:rsidR="008E12CD" w:rsidRDefault="008E12CD" w:rsidP="008E12CD">
      <w:r>
        <w:t xml:space="preserve"> </w:t>
      </w:r>
    </w:p>
    <w:p w:rsidR="008E12CD" w:rsidRDefault="008E12CD" w:rsidP="008E12CD">
      <w:r>
        <w:t xml:space="preserve"> A list of specialist Whistleblowing Officers can be found via this link: </w:t>
      </w:r>
    </w:p>
    <w:p w:rsidR="008E12CD" w:rsidRDefault="00F33EE9" w:rsidP="008E12CD">
      <w:r>
        <w:t xml:space="preserve">  http://</w:t>
      </w:r>
      <w:r w:rsidR="00C86E6E">
        <w:t>gov.uk</w:t>
      </w:r>
    </w:p>
    <w:p w:rsidR="008E12CD" w:rsidRDefault="008E12CD" w:rsidP="008E12CD">
      <w:r>
        <w:t xml:space="preserve"> </w:t>
      </w:r>
    </w:p>
    <w:p w:rsidR="008E12CD" w:rsidRPr="004E2236" w:rsidRDefault="008E12CD" w:rsidP="004E2236">
      <w:pPr>
        <w:pStyle w:val="Heading2"/>
      </w:pPr>
      <w:r>
        <w:t xml:space="preserve">2.0 </w:t>
      </w:r>
      <w:r w:rsidRPr="004E2236">
        <w:t xml:space="preserve">What is covered by Whistleblowing?  </w:t>
      </w:r>
    </w:p>
    <w:p w:rsidR="008E12CD" w:rsidRDefault="008E12CD" w:rsidP="004E2236">
      <w:pPr>
        <w:pStyle w:val="Heading2"/>
      </w:pPr>
      <w:r>
        <w:t xml:space="preserve"> </w:t>
      </w:r>
    </w:p>
    <w:p w:rsidR="008E12CD" w:rsidRDefault="008E12CD" w:rsidP="008E12CD">
      <w:r>
        <w:t xml:space="preserve">2.1 A concern can relate to any unethical or unprofessional conduct within the NISQ, including malpractice, and abuse. The Policy not only covers acts that have actually occurred but also potentially unethical or unprofessional conduct. </w:t>
      </w:r>
    </w:p>
    <w:p w:rsidR="008E12CD" w:rsidRDefault="008E12CD" w:rsidP="008E12CD">
      <w:r>
        <w:t xml:space="preserve"> </w:t>
      </w:r>
    </w:p>
    <w:p w:rsidR="008E12CD" w:rsidRDefault="008E12CD" w:rsidP="008E12CD">
      <w:r>
        <w:t>2.2 The person making the disclosure must do so in the reasonable belief that it shows one or more of the following:</w:t>
      </w:r>
    </w:p>
    <w:p w:rsidR="008E12CD" w:rsidRDefault="008E12CD" w:rsidP="008E12CD">
      <w:pPr>
        <w:pStyle w:val="ListParagraph"/>
        <w:numPr>
          <w:ilvl w:val="0"/>
          <w:numId w:val="2"/>
        </w:numPr>
      </w:pPr>
      <w:r>
        <w:t>A criminal offence has been committed, is being committed, or is likely to be committed;</w:t>
      </w:r>
    </w:p>
    <w:p w:rsidR="008E12CD" w:rsidRDefault="008E12CD" w:rsidP="008E12CD">
      <w:pPr>
        <w:pStyle w:val="ListParagraph"/>
        <w:numPr>
          <w:ilvl w:val="0"/>
          <w:numId w:val="2"/>
        </w:numPr>
      </w:pPr>
      <w:r>
        <w:t xml:space="preserve">A person has failed, is failing, or is likely to fail to comply with any legal obligation to which she/he is subject;  </w:t>
      </w:r>
    </w:p>
    <w:p w:rsidR="008E12CD" w:rsidRDefault="008E12CD" w:rsidP="008E12CD">
      <w:pPr>
        <w:pStyle w:val="ListParagraph"/>
        <w:numPr>
          <w:ilvl w:val="0"/>
          <w:numId w:val="2"/>
        </w:numPr>
      </w:pPr>
      <w:r>
        <w:t xml:space="preserve">A miscarriage of justice has occurred, is occurring, or is likely to occur;  </w:t>
      </w:r>
    </w:p>
    <w:p w:rsidR="008E12CD" w:rsidRDefault="008E12CD" w:rsidP="008E12CD">
      <w:pPr>
        <w:pStyle w:val="ListParagraph"/>
        <w:numPr>
          <w:ilvl w:val="0"/>
          <w:numId w:val="2"/>
        </w:numPr>
      </w:pPr>
      <w:r>
        <w:t>Acts or potential acts of fraud and corruption, bribery or the misuse of public funds;</w:t>
      </w:r>
    </w:p>
    <w:p w:rsidR="008E12CD" w:rsidRDefault="008E12CD" w:rsidP="008E12CD">
      <w:pPr>
        <w:pStyle w:val="ListParagraph"/>
        <w:numPr>
          <w:ilvl w:val="0"/>
          <w:numId w:val="2"/>
        </w:numPr>
      </w:pPr>
      <w:r>
        <w:t>Failure to prevent acts of fraud and corruption or bribery under the NISQ ’s Antifraud and Corruption Policy;</w:t>
      </w:r>
    </w:p>
    <w:p w:rsidR="008E12CD" w:rsidRDefault="008E12CD" w:rsidP="008E12CD">
      <w:pPr>
        <w:pStyle w:val="ListParagraph"/>
        <w:numPr>
          <w:ilvl w:val="0"/>
          <w:numId w:val="2"/>
        </w:numPr>
      </w:pPr>
      <w:r>
        <w:t xml:space="preserve">The health &amp; safety of any individual (employee or member of the public) has been, is being, or is likely to be endangered; </w:t>
      </w:r>
    </w:p>
    <w:p w:rsidR="008E12CD" w:rsidRDefault="008E12CD" w:rsidP="008E12CD">
      <w:pPr>
        <w:pStyle w:val="ListParagraph"/>
        <w:numPr>
          <w:ilvl w:val="0"/>
          <w:numId w:val="2"/>
        </w:numPr>
      </w:pPr>
      <w:r>
        <w:t xml:space="preserve">The environment has been, is being or is likely to be damaged;  </w:t>
      </w:r>
    </w:p>
    <w:p w:rsidR="008E12CD" w:rsidRDefault="008E12CD" w:rsidP="008E12CD">
      <w:pPr>
        <w:pStyle w:val="ListParagraph"/>
        <w:numPr>
          <w:ilvl w:val="0"/>
          <w:numId w:val="2"/>
        </w:numPr>
      </w:pPr>
      <w:r>
        <w:t xml:space="preserve">Actual or potential acts of all forms of discrimination;  </w:t>
      </w:r>
    </w:p>
    <w:p w:rsidR="008E12CD" w:rsidRDefault="008E12CD" w:rsidP="008E12CD">
      <w:pPr>
        <w:pStyle w:val="ListParagraph"/>
        <w:numPr>
          <w:ilvl w:val="0"/>
          <w:numId w:val="2"/>
        </w:numPr>
      </w:pPr>
      <w:r>
        <w:t xml:space="preserve">The actual or possible abuse (sexual or physical) of clients in the NISQ ’s care;  </w:t>
      </w:r>
    </w:p>
    <w:p w:rsidR="008E12CD" w:rsidRDefault="008E12CD" w:rsidP="008E12CD">
      <w:pPr>
        <w:pStyle w:val="ListParagraph"/>
        <w:numPr>
          <w:ilvl w:val="0"/>
          <w:numId w:val="2"/>
        </w:numPr>
      </w:pPr>
      <w:r>
        <w:t xml:space="preserve">Actual or potential acts of harassment or bullying of, or by, someone working for the NISQ;  </w:t>
      </w:r>
    </w:p>
    <w:p w:rsidR="008E12CD" w:rsidRDefault="008E12CD" w:rsidP="008E12CD">
      <w:pPr>
        <w:pStyle w:val="ListParagraph"/>
        <w:numPr>
          <w:ilvl w:val="0"/>
          <w:numId w:val="2"/>
        </w:numPr>
      </w:pPr>
      <w:r>
        <w:t xml:space="preserve">Any unethical conduct that causes concern or brings the reputation of the NISQ into disrepute;  </w:t>
      </w:r>
    </w:p>
    <w:p w:rsidR="008E12CD" w:rsidRDefault="008E12CD" w:rsidP="008E12CD">
      <w:pPr>
        <w:pStyle w:val="ListParagraph"/>
        <w:numPr>
          <w:ilvl w:val="0"/>
          <w:numId w:val="2"/>
        </w:numPr>
      </w:pPr>
      <w:r>
        <w:t xml:space="preserve">The deliberate concealment of information that would indicate any of the above; or </w:t>
      </w:r>
    </w:p>
    <w:p w:rsidR="008E12CD" w:rsidRDefault="008E12CD" w:rsidP="008E12CD">
      <w:pPr>
        <w:pStyle w:val="ListParagraph"/>
        <w:numPr>
          <w:ilvl w:val="0"/>
          <w:numId w:val="2"/>
        </w:numPr>
      </w:pPr>
      <w:r>
        <w:t xml:space="preserve">Information tending to show any matter falling within any one of these points has been, is being, or is likely to be concealed.  </w:t>
      </w:r>
    </w:p>
    <w:p w:rsidR="008E12CD" w:rsidRDefault="008E12CD" w:rsidP="008E12CD">
      <w:r>
        <w:t xml:space="preserve"> 2.3 Other relevant documents to consider when considering raising a concern are: </w:t>
      </w:r>
    </w:p>
    <w:p w:rsidR="008E12CD" w:rsidRDefault="008E12CD" w:rsidP="008E12CD">
      <w:r>
        <w:t>2.3.1 The NISQ Employee Hand-book</w:t>
      </w:r>
    </w:p>
    <w:p w:rsidR="008E12CD" w:rsidRDefault="008E12CD" w:rsidP="008E12CD">
      <w:r>
        <w:t xml:space="preserve"> </w:t>
      </w:r>
      <w:r w:rsidR="00C82C49">
        <w:t xml:space="preserve">2.4 </w:t>
      </w:r>
      <w:r>
        <w:t xml:space="preserve">If you are in any doubt as to whether or not to raise a concern then confidential advice can be sought from </w:t>
      </w:r>
      <w:r w:rsidR="00C86E6E">
        <w:t xml:space="preserve">either the Chief Compliance Officer or </w:t>
      </w:r>
      <w:r w:rsidR="00936A89">
        <w:t xml:space="preserve">The Director Qualifications division or the </w:t>
      </w:r>
      <w:r>
        <w:t>HR Services</w:t>
      </w:r>
      <w:r w:rsidR="00C82C49">
        <w:t>, Facilities Management Officer</w:t>
      </w:r>
      <w:r>
        <w:t xml:space="preserve">. </w:t>
      </w:r>
    </w:p>
    <w:p w:rsidR="008E12CD" w:rsidRDefault="008E12CD" w:rsidP="008E12CD">
      <w:r>
        <w:lastRenderedPageBreak/>
        <w:t xml:space="preserve">Note: If, when disclosing a </w:t>
      </w:r>
      <w:r w:rsidR="00C82C49">
        <w:t>concern,</w:t>
      </w:r>
      <w:r>
        <w:t xml:space="preserve"> you commit a criminal offence, for example accepting a bribe and or acts of corruption, you may lose your rights to protection from detriment</w:t>
      </w:r>
      <w:r w:rsidR="00C86E6E">
        <w:t xml:space="preserve">. </w:t>
      </w:r>
      <w:r>
        <w:t xml:space="preserve"> </w:t>
      </w:r>
    </w:p>
    <w:p w:rsidR="008E12CD" w:rsidRDefault="008E12CD" w:rsidP="008E12CD"/>
    <w:p w:rsidR="008E12CD" w:rsidRPr="00C82C49" w:rsidRDefault="008E12CD" w:rsidP="008E12CD">
      <w:pPr>
        <w:rPr>
          <w:b/>
          <w:sz w:val="28"/>
          <w:szCs w:val="28"/>
        </w:rPr>
      </w:pPr>
      <w:r>
        <w:t xml:space="preserve">3.0 </w:t>
      </w:r>
      <w:r w:rsidR="00C82C49" w:rsidRPr="004E2236">
        <w:rPr>
          <w:rStyle w:val="Heading2Char"/>
        </w:rPr>
        <w:t>Who Is Covered b</w:t>
      </w:r>
      <w:r w:rsidRPr="004E2236">
        <w:rPr>
          <w:rStyle w:val="Heading2Char"/>
        </w:rPr>
        <w:t xml:space="preserve">y </w:t>
      </w:r>
      <w:r w:rsidR="00C82C49" w:rsidRPr="004E2236">
        <w:rPr>
          <w:rStyle w:val="Heading2Char"/>
        </w:rPr>
        <w:t>the Whistleblowing Procedure</w:t>
      </w:r>
      <w:r w:rsidR="00C82C49" w:rsidRPr="00C82C49">
        <w:rPr>
          <w:b/>
          <w:sz w:val="28"/>
          <w:szCs w:val="28"/>
        </w:rPr>
        <w:t xml:space="preserve">?  </w:t>
      </w:r>
    </w:p>
    <w:p w:rsidR="00C82C49" w:rsidRDefault="00C82C49" w:rsidP="008E12CD">
      <w:r>
        <w:t xml:space="preserve">3.1 </w:t>
      </w:r>
      <w:r w:rsidR="008E12CD">
        <w:t>The Public Interest Disclosure Act 1998 will protect Workers who disclose information in the correct manner from dismissal or penalisation. “Workers”</w:t>
      </w:r>
      <w:r>
        <w:t xml:space="preserve"> include individuals who are;</w:t>
      </w:r>
    </w:p>
    <w:p w:rsidR="00C82C49" w:rsidRDefault="008E12CD" w:rsidP="00C82C49">
      <w:pPr>
        <w:pStyle w:val="ListParagraph"/>
        <w:numPr>
          <w:ilvl w:val="0"/>
          <w:numId w:val="4"/>
        </w:numPr>
      </w:pPr>
      <w:r>
        <w:t>Employees employed und</w:t>
      </w:r>
      <w:r w:rsidR="00C82C49">
        <w:t xml:space="preserve">er a contract of employment;  </w:t>
      </w:r>
    </w:p>
    <w:p w:rsidR="00C82C49" w:rsidRDefault="008E12CD" w:rsidP="00C82C49">
      <w:pPr>
        <w:pStyle w:val="ListParagraph"/>
        <w:numPr>
          <w:ilvl w:val="0"/>
          <w:numId w:val="4"/>
        </w:numPr>
      </w:pPr>
      <w:r>
        <w:t>Employed under any other contract, under which they perform pers</w:t>
      </w:r>
      <w:r w:rsidR="00C82C49">
        <w:t xml:space="preserve">onally any work or services;  </w:t>
      </w:r>
    </w:p>
    <w:p w:rsidR="00C82C49" w:rsidRDefault="00C82C49" w:rsidP="00C82C49">
      <w:pPr>
        <w:pStyle w:val="ListParagraph"/>
        <w:numPr>
          <w:ilvl w:val="0"/>
          <w:numId w:val="4"/>
        </w:numPr>
      </w:pPr>
      <w:r>
        <w:t xml:space="preserve">Agency workers; or </w:t>
      </w:r>
    </w:p>
    <w:p w:rsidR="008E12CD" w:rsidRDefault="008E12CD" w:rsidP="00C82C49">
      <w:pPr>
        <w:pStyle w:val="ListParagraph"/>
        <w:numPr>
          <w:ilvl w:val="0"/>
          <w:numId w:val="4"/>
        </w:numPr>
      </w:pPr>
      <w:r>
        <w:t xml:space="preserve">Undertaking work experience as part of a training course.  </w:t>
      </w:r>
    </w:p>
    <w:p w:rsidR="008E12CD" w:rsidRDefault="008E12CD" w:rsidP="008E12CD">
      <w:r>
        <w:t xml:space="preserve"> </w:t>
      </w:r>
    </w:p>
    <w:p w:rsidR="008E12CD" w:rsidRPr="004E2236" w:rsidRDefault="008E12CD" w:rsidP="008E12CD">
      <w:pPr>
        <w:rPr>
          <w:rStyle w:val="Heading2Char"/>
        </w:rPr>
      </w:pPr>
      <w:r>
        <w:t>4</w:t>
      </w:r>
      <w:r w:rsidRPr="004E2236">
        <w:rPr>
          <w:rStyle w:val="Heading2Char"/>
        </w:rPr>
        <w:t xml:space="preserve">.0 How am I Protected?  </w:t>
      </w:r>
    </w:p>
    <w:p w:rsidR="008E12CD" w:rsidRDefault="008E12CD" w:rsidP="008E12CD">
      <w:r>
        <w:t xml:space="preserve"> </w:t>
      </w:r>
    </w:p>
    <w:p w:rsidR="00C82C49" w:rsidRDefault="00C82C49" w:rsidP="008E12CD">
      <w:r>
        <w:t xml:space="preserve">4.1 </w:t>
      </w:r>
      <w:r w:rsidR="008E12CD">
        <w:t>Under the Public Interest Disclosure Act 1998, to qualify for protection for</w:t>
      </w:r>
      <w:r>
        <w:t xml:space="preserve"> disclosure the Worker must:  </w:t>
      </w:r>
    </w:p>
    <w:p w:rsidR="00C82C49" w:rsidRDefault="00C82C49" w:rsidP="00C82C49">
      <w:pPr>
        <w:pStyle w:val="ListParagraph"/>
        <w:numPr>
          <w:ilvl w:val="0"/>
          <w:numId w:val="5"/>
        </w:numPr>
      </w:pPr>
      <w:r>
        <w:t xml:space="preserve">Be acting in good faith; and </w:t>
      </w:r>
    </w:p>
    <w:p w:rsidR="008E12CD" w:rsidRDefault="008E12CD" w:rsidP="00C82C49">
      <w:pPr>
        <w:pStyle w:val="ListParagraph"/>
        <w:numPr>
          <w:ilvl w:val="0"/>
          <w:numId w:val="5"/>
        </w:numPr>
      </w:pPr>
      <w:r>
        <w:t xml:space="preserve">Have reasonable grounds for believing that the information disclosed indicates the existence of one of the problems itemised in section 2 above.  </w:t>
      </w:r>
    </w:p>
    <w:p w:rsidR="008E12CD" w:rsidRDefault="008E12CD" w:rsidP="008E12CD">
      <w:r>
        <w:t xml:space="preserve"> </w:t>
      </w:r>
    </w:p>
    <w:p w:rsidR="008E12CD" w:rsidRPr="004E2236" w:rsidRDefault="008E12CD" w:rsidP="008E12CD">
      <w:pPr>
        <w:rPr>
          <w:rStyle w:val="Heading2Char"/>
        </w:rPr>
      </w:pPr>
      <w:r>
        <w:t xml:space="preserve">5.0 </w:t>
      </w:r>
      <w:r w:rsidR="00C82C49" w:rsidRPr="004E2236">
        <w:rPr>
          <w:rStyle w:val="Heading2Char"/>
        </w:rPr>
        <w:t xml:space="preserve">Confidentiality </w:t>
      </w:r>
    </w:p>
    <w:p w:rsidR="008E12CD" w:rsidRDefault="00C82C49" w:rsidP="008E12CD">
      <w:r>
        <w:t>5.1 NISQ accepts</w:t>
      </w:r>
      <w:r w:rsidR="008E12CD">
        <w:t xml:space="preserve"> that wherever possible the confidentiality of anyone wishing to raise a concern will be protected. There might however be occasions where your confidentiality cannot be protected, for example, where there is </w:t>
      </w:r>
      <w:r>
        <w:t xml:space="preserve">the involvement of the Police. </w:t>
      </w:r>
    </w:p>
    <w:p w:rsidR="008E12CD" w:rsidRDefault="00C82C49" w:rsidP="008E12CD">
      <w:r>
        <w:t>5.2 If</w:t>
      </w:r>
      <w:r w:rsidR="008E12CD">
        <w:t xml:space="preserve"> there is any possibility that your confidentiality cannot be protected you will be told of the reasons and offered appropriate advice and support. </w:t>
      </w:r>
    </w:p>
    <w:p w:rsidR="008E12CD" w:rsidRDefault="008E12CD" w:rsidP="008E12CD">
      <w:r>
        <w:t xml:space="preserve"> </w:t>
      </w:r>
    </w:p>
    <w:p w:rsidR="008E12CD" w:rsidRPr="004E2236" w:rsidRDefault="008E12CD" w:rsidP="008E12CD">
      <w:pPr>
        <w:rPr>
          <w:rStyle w:val="Heading2Char"/>
        </w:rPr>
      </w:pPr>
      <w:r>
        <w:t>6.</w:t>
      </w:r>
      <w:r w:rsidR="00C82C49" w:rsidRPr="004E2236">
        <w:rPr>
          <w:rStyle w:val="Heading2Char"/>
        </w:rPr>
        <w:t>0</w:t>
      </w:r>
      <w:r w:rsidRPr="004E2236">
        <w:rPr>
          <w:rStyle w:val="Heading2Char"/>
        </w:rPr>
        <w:t xml:space="preserve"> Raising a concern </w:t>
      </w:r>
    </w:p>
    <w:p w:rsidR="00C82C49" w:rsidRDefault="008E12CD" w:rsidP="008E12CD">
      <w:r>
        <w:t xml:space="preserve"> 6.1 You are encouraged to r</w:t>
      </w:r>
      <w:r w:rsidR="00C82C49">
        <w:t xml:space="preserve">aise a concern provided that: </w:t>
      </w:r>
    </w:p>
    <w:p w:rsidR="00C82C49" w:rsidRDefault="008E12CD" w:rsidP="00C82C49">
      <w:pPr>
        <w:pStyle w:val="ListParagraph"/>
        <w:numPr>
          <w:ilvl w:val="0"/>
          <w:numId w:val="6"/>
        </w:numPr>
      </w:pPr>
      <w:r>
        <w:t>You have reasonable belief that the information you hold, or the</w:t>
      </w:r>
      <w:r w:rsidR="00C82C49">
        <w:t xml:space="preserve"> allegation is accurate; and  </w:t>
      </w:r>
    </w:p>
    <w:p w:rsidR="008E12CD" w:rsidRDefault="008E12CD" w:rsidP="008E12CD">
      <w:pPr>
        <w:pStyle w:val="ListParagraph"/>
        <w:numPr>
          <w:ilvl w:val="0"/>
          <w:numId w:val="6"/>
        </w:numPr>
      </w:pPr>
      <w:r>
        <w:t xml:space="preserve">You make the disclosure in good faith.  </w:t>
      </w:r>
    </w:p>
    <w:p w:rsidR="008E12CD" w:rsidRDefault="00C82C49" w:rsidP="008E12CD">
      <w:r>
        <w:t xml:space="preserve">6.2 </w:t>
      </w:r>
      <w:r w:rsidR="008E12CD">
        <w:t xml:space="preserve">Under no circumstances should you investigate a concern yourself. This shall avoid prejudicing any investigation, including a criminal investigation, if it is warranted.  Further, this will protect you from any repercussions. </w:t>
      </w:r>
    </w:p>
    <w:p w:rsidR="008E12CD" w:rsidRDefault="008E12CD" w:rsidP="008E12CD">
      <w:r>
        <w:t xml:space="preserve"> </w:t>
      </w:r>
    </w:p>
    <w:p w:rsidR="00C86E6E" w:rsidRDefault="00C86E6E" w:rsidP="008E12CD"/>
    <w:p w:rsidR="00C86E6E" w:rsidRDefault="00C86E6E" w:rsidP="008E12CD"/>
    <w:p w:rsidR="008E12CD" w:rsidRPr="00C82C49" w:rsidRDefault="008E12CD" w:rsidP="008E12CD">
      <w:pPr>
        <w:rPr>
          <w:b/>
          <w:sz w:val="28"/>
          <w:szCs w:val="28"/>
        </w:rPr>
      </w:pPr>
      <w:r>
        <w:t xml:space="preserve">7.0 </w:t>
      </w:r>
      <w:r w:rsidRPr="004E2236">
        <w:rPr>
          <w:rStyle w:val="Heading2Char"/>
        </w:rPr>
        <w:t>Anonymously raised concerns</w:t>
      </w:r>
      <w:r w:rsidRPr="00C82C49">
        <w:rPr>
          <w:b/>
          <w:sz w:val="28"/>
          <w:szCs w:val="28"/>
        </w:rPr>
        <w:t xml:space="preserve"> </w:t>
      </w:r>
    </w:p>
    <w:p w:rsidR="008E12CD" w:rsidRDefault="008E12CD" w:rsidP="008E12CD">
      <w:r>
        <w:t xml:space="preserve"> </w:t>
      </w:r>
    </w:p>
    <w:p w:rsidR="008E12CD" w:rsidRDefault="008E12CD" w:rsidP="008E12CD">
      <w:r>
        <w:t xml:space="preserve">7.1 Concerns expressed anonymously will be investigated on the basis of their merits. However, an investigation may be hampered by the inability to gain further information and the NISQ would encourage you to provide some method of contacting you to assist in the investigation. </w:t>
      </w:r>
    </w:p>
    <w:p w:rsidR="008E12CD" w:rsidRDefault="008E12CD" w:rsidP="008E12CD">
      <w:r>
        <w:t xml:space="preserve"> </w:t>
      </w:r>
    </w:p>
    <w:p w:rsidR="008E12CD" w:rsidRPr="00C82C49" w:rsidRDefault="008E12CD" w:rsidP="004E2236">
      <w:pPr>
        <w:pStyle w:val="Heading2"/>
      </w:pPr>
      <w:r>
        <w:t xml:space="preserve">8.0 </w:t>
      </w:r>
      <w:r w:rsidRPr="00C82C49">
        <w:t xml:space="preserve">Who can concerns be raised about? </w:t>
      </w:r>
    </w:p>
    <w:p w:rsidR="008E12CD" w:rsidRDefault="008E12CD" w:rsidP="004E2236">
      <w:pPr>
        <w:pStyle w:val="Heading2"/>
      </w:pPr>
      <w:r>
        <w:t xml:space="preserve"> </w:t>
      </w:r>
    </w:p>
    <w:p w:rsidR="00C82C49" w:rsidRDefault="008E12CD" w:rsidP="008E12CD">
      <w:r>
        <w:t xml:space="preserve">8.1 You can raise a concern about the practice of anyone who undertakes work for, or on behalf of, the </w:t>
      </w:r>
      <w:r w:rsidR="00C82C49">
        <w:t xml:space="preserve">NISQ, including: </w:t>
      </w:r>
    </w:p>
    <w:p w:rsidR="00C82C49" w:rsidRDefault="008E12CD" w:rsidP="00C82C49">
      <w:pPr>
        <w:pStyle w:val="ListParagraph"/>
        <w:numPr>
          <w:ilvl w:val="0"/>
          <w:numId w:val="7"/>
        </w:numPr>
      </w:pPr>
      <w:r>
        <w:t xml:space="preserve">Employees of the </w:t>
      </w:r>
      <w:r w:rsidR="00C82C49">
        <w:t xml:space="preserve">NISQ;  </w:t>
      </w:r>
    </w:p>
    <w:p w:rsidR="005F3B99" w:rsidRDefault="00942987" w:rsidP="00C82C49">
      <w:pPr>
        <w:pStyle w:val="ListParagraph"/>
        <w:numPr>
          <w:ilvl w:val="0"/>
          <w:numId w:val="7"/>
        </w:numPr>
      </w:pPr>
      <w:r>
        <w:t xml:space="preserve">NISQ </w:t>
      </w:r>
      <w:r w:rsidR="005F3B99">
        <w:t>Approved Centres</w:t>
      </w:r>
    </w:p>
    <w:p w:rsidR="00C82C49" w:rsidRDefault="008E12CD" w:rsidP="008E12CD">
      <w:pPr>
        <w:pStyle w:val="ListParagraph"/>
        <w:numPr>
          <w:ilvl w:val="0"/>
          <w:numId w:val="7"/>
        </w:numPr>
      </w:pPr>
      <w:r>
        <w:t xml:space="preserve">Contractors;   </w:t>
      </w:r>
    </w:p>
    <w:p w:rsidR="008E12CD" w:rsidRDefault="00C82C49" w:rsidP="00C82C49">
      <w:pPr>
        <w:pStyle w:val="ListParagraph"/>
        <w:numPr>
          <w:ilvl w:val="0"/>
          <w:numId w:val="7"/>
        </w:numPr>
      </w:pPr>
      <w:r>
        <w:t xml:space="preserve">Volunteers; and </w:t>
      </w:r>
    </w:p>
    <w:p w:rsidR="008E12CD" w:rsidRDefault="00C82C49" w:rsidP="008E12CD">
      <w:r>
        <w:t xml:space="preserve">8.2 </w:t>
      </w:r>
      <w:r w:rsidR="008E12CD">
        <w:t>NISQ has a legal responsibility to deal with any issues raised under the Whi</w:t>
      </w:r>
      <w:r>
        <w:t>stleblowing Policy</w:t>
      </w:r>
    </w:p>
    <w:p w:rsidR="008E12CD" w:rsidRDefault="00C82C49" w:rsidP="008E12CD">
      <w:r>
        <w:t xml:space="preserve">. </w:t>
      </w:r>
    </w:p>
    <w:p w:rsidR="008E12CD" w:rsidRPr="004E2236" w:rsidRDefault="008E12CD" w:rsidP="008E12CD">
      <w:pPr>
        <w:rPr>
          <w:rStyle w:val="Heading2Char"/>
        </w:rPr>
      </w:pPr>
      <w:r>
        <w:t xml:space="preserve">9.0 </w:t>
      </w:r>
      <w:r w:rsidRPr="004E2236">
        <w:rPr>
          <w:rStyle w:val="Heading2Char"/>
        </w:rPr>
        <w:t xml:space="preserve">How to raise a concern </w:t>
      </w:r>
    </w:p>
    <w:p w:rsidR="008E12CD" w:rsidRDefault="008E12CD" w:rsidP="008E12CD">
      <w:r>
        <w:t xml:space="preserve"> </w:t>
      </w:r>
    </w:p>
    <w:p w:rsidR="008E12CD" w:rsidRDefault="008E12CD" w:rsidP="008E12CD">
      <w:r>
        <w:t>9.1 No matter with whom you raise your concern it will be dealt with under this Policy. If the person with whom you raise the concern feels it necessary, they may refer your concern on to either a specialist team or a</w:t>
      </w:r>
      <w:r w:rsidR="00936A89">
        <w:t xml:space="preserve"> </w:t>
      </w:r>
      <w:r>
        <w:t xml:space="preserve">senior NISQ officer, whichever is appropriate. If this is the </w:t>
      </w:r>
      <w:r w:rsidR="00C82C49">
        <w:t>case,</w:t>
      </w:r>
      <w:r>
        <w:t xml:space="preserve"> you will be contacted first and have the opportunity to disc</w:t>
      </w:r>
      <w:r w:rsidR="00C82C49">
        <w:t xml:space="preserve">uss any issues this may raise. </w:t>
      </w:r>
    </w:p>
    <w:p w:rsidR="008E12CD" w:rsidRDefault="008E12CD" w:rsidP="008E12CD">
      <w:r>
        <w:t>9.2 Staff should be aware that raising a concern by email might result in third parties identifying a Whistleblower. Staff should therefore consider arranging a meeting with the relevant Whistleblowing Officer/Specialist Team</w:t>
      </w:r>
      <w:r w:rsidR="00C82C49">
        <w:t>/Chief Compliance Officer</w:t>
      </w:r>
      <w:r>
        <w:t xml:space="preserve"> if they are concerned about third parties accessing emails. </w:t>
      </w:r>
    </w:p>
    <w:p w:rsidR="00942987" w:rsidRDefault="00942987" w:rsidP="008E12CD">
      <w:r>
        <w:t>9.</w:t>
      </w:r>
      <w:r w:rsidR="00A27305">
        <w:t>2a</w:t>
      </w:r>
      <w:r>
        <w:t xml:space="preserve"> Raising a Concern – Whistleblowing</w:t>
      </w:r>
      <w:r w:rsidR="00A27305">
        <w:t xml:space="preserve"> Form </w:t>
      </w:r>
      <w:r>
        <w:t>NISQ 28</w:t>
      </w:r>
    </w:p>
    <w:p w:rsidR="008E12CD" w:rsidRDefault="008E12CD" w:rsidP="008E12CD">
      <w:r>
        <w:t xml:space="preserve"> </w:t>
      </w:r>
    </w:p>
    <w:p w:rsidR="008E12CD" w:rsidRPr="00C82C49" w:rsidRDefault="008E12CD" w:rsidP="008E12CD">
      <w:pPr>
        <w:rPr>
          <w:b/>
        </w:rPr>
      </w:pPr>
      <w:r w:rsidRPr="00C82C49">
        <w:rPr>
          <w:b/>
        </w:rPr>
        <w:t xml:space="preserve">As a First Point of Contact </w:t>
      </w:r>
    </w:p>
    <w:p w:rsidR="008E12CD" w:rsidRDefault="008E12CD" w:rsidP="008E12CD">
      <w:r>
        <w:t xml:space="preserve"> 9.3 A concern would normally be raised init</w:t>
      </w:r>
      <w:r w:rsidR="00C82C49">
        <w:t>ially with your Chief Compliance Officer</w:t>
      </w:r>
      <w:r>
        <w:t xml:space="preserve">. </w:t>
      </w:r>
      <w:r w:rsidR="00C82C49">
        <w:t>However,</w:t>
      </w:r>
      <w:r>
        <w:t xml:space="preserve"> this may not always be possible, dependent on the nature of the concern and who is involved. </w:t>
      </w:r>
    </w:p>
    <w:p w:rsidR="008E12CD" w:rsidRDefault="008E12CD" w:rsidP="008E12CD">
      <w:r>
        <w:t xml:space="preserve"> </w:t>
      </w:r>
    </w:p>
    <w:p w:rsidR="008E12CD" w:rsidRPr="00C82C49" w:rsidRDefault="008E12CD" w:rsidP="008E12CD">
      <w:pPr>
        <w:rPr>
          <w:b/>
        </w:rPr>
      </w:pPr>
      <w:r w:rsidRPr="00C82C49">
        <w:rPr>
          <w:b/>
        </w:rPr>
        <w:t xml:space="preserve">As an alternative </w:t>
      </w:r>
    </w:p>
    <w:p w:rsidR="008E12CD" w:rsidRDefault="008E12CD" w:rsidP="008E12CD">
      <w:r>
        <w:t xml:space="preserve"> 9.4   If you feel unable to raise the matter with your </w:t>
      </w:r>
      <w:r w:rsidR="00C82C49">
        <w:t xml:space="preserve">Chief Compliance Officer you may wish to contact the </w:t>
      </w:r>
      <w:r w:rsidR="005F3B99">
        <w:t>NISQ Governing Body.</w:t>
      </w:r>
      <w:r w:rsidR="00C82C49">
        <w:t xml:space="preserve"> </w:t>
      </w:r>
    </w:p>
    <w:p w:rsidR="008E12CD" w:rsidRDefault="00C82C49" w:rsidP="008E12CD">
      <w:r>
        <w:lastRenderedPageBreak/>
        <w:t xml:space="preserve">9.5 </w:t>
      </w:r>
      <w:r w:rsidR="008E12CD">
        <w:t xml:space="preserve">You may wish to refer your concern directly to one of the NISQ </w:t>
      </w:r>
      <w:r>
        <w:t xml:space="preserve">’s Board Member  </w:t>
      </w:r>
    </w:p>
    <w:p w:rsidR="008E12CD" w:rsidRDefault="00C82C49" w:rsidP="008E12CD">
      <w:r>
        <w:t>9.6</w:t>
      </w:r>
      <w:r w:rsidR="008E12CD">
        <w:t xml:space="preserve"> </w:t>
      </w:r>
      <w:r w:rsidR="00C86E6E">
        <w:t xml:space="preserve">The </w:t>
      </w:r>
      <w:r w:rsidR="00216816">
        <w:t>Chief Compliance Officer</w:t>
      </w:r>
      <w:r w:rsidR="008931C3">
        <w:t xml:space="preserve"> </w:t>
      </w:r>
      <w:r w:rsidR="008E12CD">
        <w:t xml:space="preserve">have </w:t>
      </w:r>
      <w:r w:rsidR="00216816">
        <w:t>or will be in the process of receiving</w:t>
      </w:r>
      <w:r w:rsidR="008E12CD">
        <w:t xml:space="preserve"> specialist training in dealing with concerns and will follow the procedure as laid out in this Policy. </w:t>
      </w:r>
    </w:p>
    <w:p w:rsidR="008E12CD" w:rsidRDefault="008E12CD" w:rsidP="008E12CD">
      <w:r>
        <w:t xml:space="preserve"> </w:t>
      </w:r>
    </w:p>
    <w:p w:rsidR="008E12CD" w:rsidRPr="004E2236" w:rsidRDefault="008E12CD" w:rsidP="008E12CD">
      <w:pPr>
        <w:rPr>
          <w:rStyle w:val="Heading2Char"/>
        </w:rPr>
      </w:pPr>
      <w:r>
        <w:t xml:space="preserve">10.0 </w:t>
      </w:r>
      <w:r w:rsidRPr="004E2236">
        <w:rPr>
          <w:rStyle w:val="Heading2Char"/>
        </w:rPr>
        <w:t>Misuse of the Whistleblowing Policy</w:t>
      </w:r>
      <w:r w:rsidR="00216816" w:rsidRPr="004E2236">
        <w:rPr>
          <w:rStyle w:val="Heading2Char"/>
        </w:rPr>
        <w:t xml:space="preserve"> </w:t>
      </w:r>
    </w:p>
    <w:p w:rsidR="00216816" w:rsidRDefault="008E12CD" w:rsidP="008E12CD">
      <w:r>
        <w:t xml:space="preserve">10.1 </w:t>
      </w:r>
      <w:bookmarkStart w:id="1" w:name="_Hlk513123181"/>
      <w:r>
        <w:t>Raising a concern with malicious intent or for personal gain or the gain of others is not acceptable and may lead to disciplinary action under the NISQ ’s Di</w:t>
      </w:r>
      <w:r w:rsidR="00216816">
        <w:t xml:space="preserve">sciplinary Policy.  </w:t>
      </w:r>
    </w:p>
    <w:bookmarkEnd w:id="1"/>
    <w:p w:rsidR="008E12CD" w:rsidRDefault="008E12CD" w:rsidP="008E12CD">
      <w:r>
        <w:t xml:space="preserve"> </w:t>
      </w:r>
    </w:p>
    <w:p w:rsidR="008E12CD" w:rsidRPr="004E2236" w:rsidRDefault="008E12CD" w:rsidP="008E12CD">
      <w:pPr>
        <w:rPr>
          <w:rStyle w:val="Heading2Char"/>
        </w:rPr>
      </w:pPr>
      <w:r>
        <w:t xml:space="preserve">11.0 </w:t>
      </w:r>
      <w:r w:rsidR="00216816" w:rsidRPr="004E2236">
        <w:rPr>
          <w:rStyle w:val="Heading2Char"/>
        </w:rPr>
        <w:t xml:space="preserve">Responsible Officer  </w:t>
      </w:r>
    </w:p>
    <w:p w:rsidR="008E12CD" w:rsidRDefault="008E12CD" w:rsidP="008E12CD">
      <w:r>
        <w:t xml:space="preserve">11.1 Frauds are often discovered as a result of whistleblowing and the </w:t>
      </w:r>
      <w:r w:rsidR="00216816">
        <w:t>NISQ</w:t>
      </w:r>
      <w:r>
        <w:t xml:space="preserve"> has arrangements in place to enable such information to be properly dealt with, and the Whistleblower protected.    </w:t>
      </w:r>
    </w:p>
    <w:p w:rsidR="008E12CD" w:rsidRDefault="008E12CD" w:rsidP="008E12CD">
      <w:r>
        <w:t xml:space="preserve"> </w:t>
      </w:r>
    </w:p>
    <w:p w:rsidR="008E12CD" w:rsidRDefault="008E12CD" w:rsidP="008E12CD">
      <w:r>
        <w:t>11.2 In particular, all whistleblowing cases related to fraud and financial irregularity will be subject to initi</w:t>
      </w:r>
      <w:r w:rsidR="00216816">
        <w:t>al enquiries by the Audit, Risk and Compliance Department</w:t>
      </w:r>
      <w:r>
        <w:t xml:space="preserve"> to confirm or repudiate suspicions raised, and if the concerns are substantiated a full investigation will be undertaken. </w:t>
      </w:r>
    </w:p>
    <w:p w:rsidR="008E12CD" w:rsidRDefault="008E12CD" w:rsidP="008E12CD">
      <w:r>
        <w:t xml:space="preserve"> </w:t>
      </w:r>
    </w:p>
    <w:p w:rsidR="008E12CD" w:rsidRDefault="00216816" w:rsidP="008E12CD">
      <w:r>
        <w:t>11.3 The Chief Compliance</w:t>
      </w:r>
      <w:r w:rsidR="008E12CD">
        <w:t xml:space="preserve"> Officer needs to be informed of all fraudulent matters and will decide on the appropriate action following the results of the investigation. A report of instances of all uses of this Policy shall be prov</w:t>
      </w:r>
      <w:r>
        <w:t>ided to the Audit Committee</w:t>
      </w:r>
      <w:r w:rsidR="008E12CD">
        <w:t xml:space="preserve">. This report will not identify any parties using this Policy, but is intended to monitor Whistleblowing procedures.  </w:t>
      </w:r>
    </w:p>
    <w:p w:rsidR="008E12CD" w:rsidRDefault="008E12CD" w:rsidP="008E12CD">
      <w:r>
        <w:t xml:space="preserve"> </w:t>
      </w:r>
    </w:p>
    <w:p w:rsidR="00216816" w:rsidRPr="004E2236" w:rsidRDefault="008E12CD" w:rsidP="008E12CD">
      <w:pPr>
        <w:rPr>
          <w:rStyle w:val="Heading2Char"/>
        </w:rPr>
      </w:pPr>
      <w:r>
        <w:t>12.</w:t>
      </w:r>
      <w:r w:rsidRPr="004E2236">
        <w:rPr>
          <w:b/>
        </w:rPr>
        <w:t xml:space="preserve">0   </w:t>
      </w:r>
      <w:r w:rsidRPr="004E2236">
        <w:rPr>
          <w:rStyle w:val="Heading2Char"/>
        </w:rPr>
        <w:t xml:space="preserve">The Procedure    </w:t>
      </w:r>
    </w:p>
    <w:p w:rsidR="008E12CD" w:rsidRDefault="008E12CD" w:rsidP="008E12CD">
      <w:r>
        <w:t xml:space="preserve">12.1  </w:t>
      </w:r>
      <w:r w:rsidR="00216816">
        <w:t xml:space="preserve"> </w:t>
      </w:r>
      <w:r>
        <w:t xml:space="preserve">What to consider when expressing a concern –  </w:t>
      </w:r>
    </w:p>
    <w:p w:rsidR="00216816" w:rsidRDefault="00216816" w:rsidP="008E12CD">
      <w:r>
        <w:t xml:space="preserve"> </w:t>
      </w:r>
      <w:r w:rsidR="008E12CD">
        <w:t>To enable your concerns to be dealt with in a proper and effective manner here are some gui</w:t>
      </w:r>
      <w:r>
        <w:t xml:space="preserve">delines for you to consider:  </w:t>
      </w:r>
    </w:p>
    <w:p w:rsidR="00216816" w:rsidRDefault="008E12CD" w:rsidP="00216816">
      <w:pPr>
        <w:pStyle w:val="ListParagraph"/>
        <w:numPr>
          <w:ilvl w:val="0"/>
          <w:numId w:val="8"/>
        </w:numPr>
      </w:pPr>
      <w:bookmarkStart w:id="2" w:name="_Hlk513122754"/>
      <w:r>
        <w:t>Be as clear as possible about what the concern is and to whom and what it relates. You may also want to discuss the concern with ot</w:t>
      </w:r>
      <w:r w:rsidR="00216816">
        <w:t xml:space="preserve">hers to see if it is shared.  </w:t>
      </w:r>
    </w:p>
    <w:p w:rsidR="00C86E6E" w:rsidRDefault="008E12CD" w:rsidP="00216816">
      <w:pPr>
        <w:pStyle w:val="ListParagraph"/>
        <w:numPr>
          <w:ilvl w:val="0"/>
          <w:numId w:val="8"/>
        </w:numPr>
      </w:pPr>
      <w:r>
        <w:t>Be as clear as possible about who may</w:t>
      </w:r>
      <w:r w:rsidR="00216816">
        <w:t>-</w:t>
      </w:r>
      <w:r>
        <w:t>be involved, when and where actions may have taken place. Please ensure the facts are recorded i.e. record the dates and times in a diary. This way you can be clear about what has actually been heard or seen and when, rather tha</w:t>
      </w:r>
      <w:r w:rsidR="00C86E6E">
        <w:t xml:space="preserve">n rely on memory or hearsay. </w:t>
      </w:r>
    </w:p>
    <w:p w:rsidR="008E12CD" w:rsidRDefault="008E12CD" w:rsidP="00216816">
      <w:pPr>
        <w:pStyle w:val="ListParagraph"/>
        <w:numPr>
          <w:ilvl w:val="0"/>
          <w:numId w:val="8"/>
        </w:numPr>
      </w:pPr>
      <w:r>
        <w:t xml:space="preserve">Ensure you ask for your concerns to be dealt with under this procedure.  </w:t>
      </w:r>
    </w:p>
    <w:p w:rsidR="008E12CD" w:rsidRDefault="008E12CD" w:rsidP="008E12CD">
      <w:r>
        <w:t xml:space="preserve"> </w:t>
      </w:r>
    </w:p>
    <w:bookmarkEnd w:id="2"/>
    <w:p w:rsidR="008E12CD" w:rsidRPr="004E2236" w:rsidRDefault="008E12CD" w:rsidP="008E12CD">
      <w:pPr>
        <w:rPr>
          <w:rStyle w:val="Heading2Char"/>
        </w:rPr>
      </w:pPr>
      <w:r>
        <w:t xml:space="preserve">13.0 </w:t>
      </w:r>
      <w:r w:rsidRPr="004E2236">
        <w:rPr>
          <w:rStyle w:val="Heading2Char"/>
        </w:rPr>
        <w:t xml:space="preserve">The procedure to be followed </w:t>
      </w:r>
    </w:p>
    <w:p w:rsidR="008E12CD" w:rsidRDefault="008E12CD" w:rsidP="008E12CD">
      <w:r>
        <w:t xml:space="preserve"> 13.1 To ensure that all concerns raised are taken seriously</w:t>
      </w:r>
      <w:r w:rsidR="00216816">
        <w:t xml:space="preserve"> and are fully investigated NISQ</w:t>
      </w:r>
      <w:r>
        <w:t xml:space="preserve"> has agreed a procedure to be followed in all cases. </w:t>
      </w:r>
    </w:p>
    <w:p w:rsidR="008E12CD" w:rsidRDefault="008E12CD" w:rsidP="008E12CD">
      <w:r>
        <w:lastRenderedPageBreak/>
        <w:t>13.2 Staff should be aware that raising a concern by email might result in third parties identifying a Whistleblower. Staff should therefore consider arranging a meeting with the relevant Whistl</w:t>
      </w:r>
      <w:r w:rsidR="00216816">
        <w:t>eblowing Officer/Chief Compliance Officer</w:t>
      </w:r>
      <w:r>
        <w:t xml:space="preserve"> if they are concerned about third parties accessing emails. </w:t>
      </w:r>
    </w:p>
    <w:p w:rsidR="008E12CD" w:rsidRDefault="00216816" w:rsidP="008E12CD">
      <w:r>
        <w:t xml:space="preserve"> 13.3 </w:t>
      </w:r>
      <w:r w:rsidR="008E12CD">
        <w:t>If, at any stage of the procedure, you are asked or wish to meet with someone addressing the concerns you have raised you have the option to be accompanied by a work place colle</w:t>
      </w:r>
      <w:r>
        <w:t>ague,</w:t>
      </w:r>
      <w:r w:rsidR="008E12CD">
        <w:t xml:space="preserve"> or representative from a professional body. </w:t>
      </w:r>
    </w:p>
    <w:p w:rsidR="008E12CD" w:rsidRDefault="008E12CD" w:rsidP="008E12CD">
      <w:r>
        <w:t xml:space="preserve"> </w:t>
      </w:r>
    </w:p>
    <w:p w:rsidR="008E12CD" w:rsidRPr="004E2236" w:rsidRDefault="00216816" w:rsidP="008E12CD">
      <w:pPr>
        <w:rPr>
          <w:sz w:val="28"/>
          <w:szCs w:val="28"/>
        </w:rPr>
      </w:pPr>
      <w:r>
        <w:t xml:space="preserve">13.4 </w:t>
      </w:r>
      <w:r w:rsidR="008E12CD" w:rsidRPr="004E2236">
        <w:rPr>
          <w:rStyle w:val="Heading2Char"/>
        </w:rPr>
        <w:t>Upon raising a concern</w:t>
      </w:r>
      <w:r w:rsidRPr="004E2236">
        <w:rPr>
          <w:rStyle w:val="Heading2Char"/>
        </w:rPr>
        <w:t>:</w:t>
      </w:r>
      <w:r w:rsidRPr="004E2236">
        <w:rPr>
          <w:sz w:val="28"/>
          <w:szCs w:val="28"/>
        </w:rPr>
        <w:t xml:space="preserve"> </w:t>
      </w:r>
    </w:p>
    <w:p w:rsidR="008E12CD" w:rsidRDefault="008E12CD" w:rsidP="008E12CD">
      <w:r>
        <w:t xml:space="preserve">13.4.1 </w:t>
      </w:r>
      <w:bookmarkStart w:id="3" w:name="_Hlk513123095"/>
      <w:r>
        <w:t>However you wish to express your concern, by tel</w:t>
      </w:r>
      <w:r w:rsidR="00216816">
        <w:t>ephone or in person, you will:</w:t>
      </w:r>
      <w:r>
        <w:t xml:space="preserve"> </w:t>
      </w:r>
    </w:p>
    <w:p w:rsidR="00216816" w:rsidRDefault="008E12CD" w:rsidP="00216816">
      <w:pPr>
        <w:pStyle w:val="ListParagraph"/>
        <w:numPr>
          <w:ilvl w:val="0"/>
          <w:numId w:val="9"/>
        </w:numPr>
      </w:pPr>
      <w:r>
        <w:t>Receive an acknowledgement of your concerns within five working days of notifying the investigating person to whom you have expressed the concern (this can be</w:t>
      </w:r>
      <w:r w:rsidR="00216816">
        <w:t xml:space="preserve"> sent to your home address); </w:t>
      </w:r>
    </w:p>
    <w:p w:rsidR="008E12CD" w:rsidRDefault="008E12CD" w:rsidP="00216816">
      <w:pPr>
        <w:pStyle w:val="ListParagraph"/>
        <w:numPr>
          <w:ilvl w:val="0"/>
          <w:numId w:val="9"/>
        </w:numPr>
      </w:pPr>
      <w:r>
        <w:t xml:space="preserve">The investigating person will then decide how to progress your concern. This may mean undertaking an investigation. This does not mean that the concern is either true or untrue, but will help to assess the gravity of the complaint and establish the facts. It could be possible that concerns raised may be the result of a misunderstanding or an authorised change in practice.  </w:t>
      </w:r>
    </w:p>
    <w:p w:rsidR="008E12CD" w:rsidRDefault="008E12CD" w:rsidP="008E12CD">
      <w:r>
        <w:t xml:space="preserve"> </w:t>
      </w:r>
    </w:p>
    <w:p w:rsidR="00216816" w:rsidRDefault="008E12CD" w:rsidP="008E12CD">
      <w:r>
        <w:t>13.4.2 Within ten working days of making your con</w:t>
      </w:r>
      <w:r w:rsidR="00216816">
        <w:t>cerns known you will either:</w:t>
      </w:r>
    </w:p>
    <w:p w:rsidR="00216816" w:rsidRDefault="008E12CD" w:rsidP="00216816">
      <w:pPr>
        <w:pStyle w:val="ListParagraph"/>
        <w:numPr>
          <w:ilvl w:val="0"/>
          <w:numId w:val="10"/>
        </w:numPr>
      </w:pPr>
      <w:r>
        <w:t>Have a confidential meeting with the investigating person to discu</w:t>
      </w:r>
      <w:r w:rsidR="00216816">
        <w:t xml:space="preserve">ss further your concerns; or  </w:t>
      </w:r>
    </w:p>
    <w:p w:rsidR="008E12CD" w:rsidRDefault="008E12CD" w:rsidP="00216816">
      <w:pPr>
        <w:pStyle w:val="ListParagraph"/>
        <w:numPr>
          <w:ilvl w:val="0"/>
          <w:numId w:val="10"/>
        </w:numPr>
      </w:pPr>
      <w:r>
        <w:t xml:space="preserve">Have received, in writing, an outline of how the investigating person intends to deal with the concerns raised.  </w:t>
      </w:r>
    </w:p>
    <w:p w:rsidR="00936A89" w:rsidRDefault="00936A89" w:rsidP="00216816">
      <w:pPr>
        <w:pStyle w:val="ListParagraph"/>
        <w:numPr>
          <w:ilvl w:val="0"/>
          <w:numId w:val="10"/>
        </w:numPr>
      </w:pPr>
      <w:r>
        <w:t xml:space="preserve">Following this the Concern </w:t>
      </w:r>
      <w:r w:rsidR="00A2049D">
        <w:t>if possible d</w:t>
      </w:r>
      <w:r w:rsidR="00F81CE1">
        <w:t xml:space="preserve">ependent on the </w:t>
      </w:r>
      <w:r w:rsidR="00A2049D">
        <w:t xml:space="preserve">circumstances </w:t>
      </w:r>
      <w:r w:rsidR="00F81CE1">
        <w:t xml:space="preserve">the report </w:t>
      </w:r>
      <w:r>
        <w:t>will</w:t>
      </w:r>
      <w:r w:rsidR="00A2049D">
        <w:t xml:space="preserve"> </w:t>
      </w:r>
      <w:r>
        <w:t xml:space="preserve">be reviewed </w:t>
      </w:r>
      <w:r w:rsidR="00F81CE1">
        <w:t xml:space="preserve">after three days by the Governing Body, and then </w:t>
      </w:r>
      <w:r>
        <w:t xml:space="preserve">weekly by the </w:t>
      </w:r>
      <w:r w:rsidR="00A2049D">
        <w:t xml:space="preserve">investigating officer and the </w:t>
      </w:r>
      <w:r>
        <w:t>Governing Body until the matter is resolved</w:t>
      </w:r>
      <w:r w:rsidR="00A2049D">
        <w:t>.</w:t>
      </w:r>
    </w:p>
    <w:bookmarkEnd w:id="3"/>
    <w:p w:rsidR="008E12CD" w:rsidRDefault="008E12CD" w:rsidP="008E12CD">
      <w:r>
        <w:t xml:space="preserve"> </w:t>
      </w:r>
    </w:p>
    <w:p w:rsidR="008E12CD" w:rsidRDefault="008E12CD" w:rsidP="008E12CD">
      <w:r>
        <w:t>13.4.3</w:t>
      </w:r>
      <w:r w:rsidR="00216816">
        <w:t xml:space="preserve"> </w:t>
      </w:r>
      <w:r>
        <w:t xml:space="preserve">Dependent on the nature of the concerns you may have subsequent meetings with the relevant investigating persons. These can be held “off-site” if preferred. </w:t>
      </w:r>
    </w:p>
    <w:p w:rsidR="008E12CD" w:rsidRDefault="008E12CD" w:rsidP="008E12CD">
      <w:r>
        <w:t xml:space="preserve"> </w:t>
      </w:r>
    </w:p>
    <w:p w:rsidR="008E12CD" w:rsidRPr="00C86E6E" w:rsidRDefault="008E12CD" w:rsidP="008E12CD">
      <w:pPr>
        <w:rPr>
          <w:rStyle w:val="Heading2Char"/>
          <w:rFonts w:asciiTheme="minorHAnsi" w:eastAsiaTheme="minorHAnsi" w:hAnsiTheme="minorHAnsi" w:cstheme="minorBidi"/>
          <w:color w:val="auto"/>
          <w:sz w:val="22"/>
          <w:szCs w:val="22"/>
        </w:rPr>
      </w:pPr>
      <w:r>
        <w:t xml:space="preserve">14.0 </w:t>
      </w:r>
      <w:r w:rsidR="00216816" w:rsidRPr="004E2236">
        <w:rPr>
          <w:rStyle w:val="Heading2Char"/>
        </w:rPr>
        <w:t xml:space="preserve">The outcome of your concern </w:t>
      </w:r>
    </w:p>
    <w:p w:rsidR="008E12CD" w:rsidRDefault="008E12CD" w:rsidP="008E12CD">
      <w:r>
        <w:t xml:space="preserve">14.1   Having raised the concern, the NISQ recognises that you will need to be assured that the issues have been dealt with correctly. You will be kept informed on a regular basis of what actions are being taken and the </w:t>
      </w:r>
      <w:proofErr w:type="gramStart"/>
      <w:r>
        <w:t>final results</w:t>
      </w:r>
      <w:proofErr w:type="gramEnd"/>
      <w:r>
        <w:t xml:space="preserve"> of any investigations. </w:t>
      </w:r>
    </w:p>
    <w:p w:rsidR="008E12CD" w:rsidRDefault="008E12CD" w:rsidP="008E12CD">
      <w:r>
        <w:t xml:space="preserve"> </w:t>
      </w:r>
    </w:p>
    <w:p w:rsidR="008E12CD" w:rsidRDefault="008E12CD" w:rsidP="008E12CD">
      <w:r>
        <w:t xml:space="preserve">14.2   In some situations, such as referrals to external bodies, it may not be appropriate (or legally possible) to supply you with the full information discovered. </w:t>
      </w:r>
      <w:r w:rsidR="00216816">
        <w:t>However,</w:t>
      </w:r>
      <w:r>
        <w:t xml:space="preserve"> the reasons for this will be expla</w:t>
      </w:r>
      <w:r w:rsidR="00216816">
        <w:t xml:space="preserve">ined at the appropriate time.  </w:t>
      </w:r>
    </w:p>
    <w:p w:rsidR="008E12CD" w:rsidRDefault="008E12CD" w:rsidP="008E12CD">
      <w:r>
        <w:lastRenderedPageBreak/>
        <w:t xml:space="preserve">14.3 All uses of this Policy will be formally recorded and a register maintained. </w:t>
      </w:r>
    </w:p>
    <w:p w:rsidR="008E12CD" w:rsidRDefault="008E12CD" w:rsidP="008E12CD">
      <w:r>
        <w:t xml:space="preserve"> </w:t>
      </w:r>
    </w:p>
    <w:p w:rsidR="008E12CD" w:rsidRPr="004E2236" w:rsidRDefault="008E12CD" w:rsidP="008E12CD">
      <w:pPr>
        <w:rPr>
          <w:rStyle w:val="Heading2Char"/>
        </w:rPr>
      </w:pPr>
      <w:r>
        <w:t xml:space="preserve">15.0 </w:t>
      </w:r>
      <w:r w:rsidRPr="004E2236">
        <w:rPr>
          <w:rStyle w:val="Heading2Char"/>
        </w:rPr>
        <w:t xml:space="preserve">Taking your concern further </w:t>
      </w:r>
    </w:p>
    <w:p w:rsidR="008E12CD" w:rsidRDefault="00216816" w:rsidP="008E12CD">
      <w:r>
        <w:t xml:space="preserve"> 15.1 </w:t>
      </w:r>
      <w:r w:rsidR="008E12CD">
        <w:t xml:space="preserve">If you have exhausted all these channels and you still have concerns, or feel that the issues have not been fully or appropriately addressed, </w:t>
      </w:r>
      <w:r>
        <w:t>you can contact the Chairman</w:t>
      </w:r>
      <w:r w:rsidR="008E12CD">
        <w:t xml:space="preserve">, or have him contacted on your behalf, to discuss your concern in confidence. At this point, you may also raise your </w:t>
      </w:r>
      <w:r>
        <w:t xml:space="preserve">concerns with elected members. </w:t>
      </w:r>
    </w:p>
    <w:p w:rsidR="008E12CD" w:rsidRDefault="00216816" w:rsidP="008E12CD">
      <w:r>
        <w:t xml:space="preserve">15.2 </w:t>
      </w:r>
      <w:r w:rsidR="008E12CD">
        <w:t>However you should not refer the matter outside the organisation without first ensuring that all other possibl</w:t>
      </w:r>
      <w:r w:rsidR="004E2236">
        <w:t xml:space="preserve">e avenues have been exhausted. </w:t>
      </w:r>
    </w:p>
    <w:p w:rsidR="008E12CD" w:rsidRDefault="004E2236" w:rsidP="008E12CD">
      <w:r>
        <w:t xml:space="preserve">15.3 </w:t>
      </w:r>
      <w:r w:rsidR="008E12CD">
        <w:t xml:space="preserve">Additional information and details of regulatory bodies can be found in Appendix One. </w:t>
      </w:r>
    </w:p>
    <w:p w:rsidR="008E12CD" w:rsidRDefault="008E12CD" w:rsidP="008E12CD">
      <w:r>
        <w:t xml:space="preserve"> </w:t>
      </w:r>
    </w:p>
    <w:p w:rsidR="008E12CD" w:rsidRPr="004E2236" w:rsidRDefault="008E12CD" w:rsidP="008E12CD">
      <w:pPr>
        <w:rPr>
          <w:rStyle w:val="Heading2Char"/>
        </w:rPr>
      </w:pPr>
      <w:r>
        <w:t>16.</w:t>
      </w:r>
      <w:r w:rsidRPr="004E2236">
        <w:rPr>
          <w:rStyle w:val="Heading2Char"/>
        </w:rPr>
        <w:t xml:space="preserve">0 </w:t>
      </w:r>
      <w:r w:rsidR="004E2236" w:rsidRPr="004E2236">
        <w:rPr>
          <w:rStyle w:val="Heading2Char"/>
        </w:rPr>
        <w:t xml:space="preserve">Contacting the media </w:t>
      </w:r>
    </w:p>
    <w:p w:rsidR="008E12CD" w:rsidRDefault="004E2236" w:rsidP="008E12CD">
      <w:r>
        <w:t xml:space="preserve">16.1 </w:t>
      </w:r>
      <w:r w:rsidR="008E12CD">
        <w:t>If a Worker is considering contacting the Press, they are strongly advised to seek guidance from professional or other representative bodies and to discuss the matter where possible with line and professional managers. Please be aware that contacting the media before allowing the Whistleblowing team to investigate could result in p</w:t>
      </w:r>
      <w:r>
        <w:t xml:space="preserve">rejudicing any investigation.  </w:t>
      </w:r>
    </w:p>
    <w:p w:rsidR="00C86E6E" w:rsidRDefault="00C86E6E" w:rsidP="008E12CD"/>
    <w:p w:rsidR="008E12CD" w:rsidRDefault="004E2236" w:rsidP="008E12CD">
      <w:r>
        <w:t xml:space="preserve">16.2 </w:t>
      </w:r>
      <w:r w:rsidR="008E12CD">
        <w:t>If you decide to proceed with contacting the media, you</w:t>
      </w:r>
      <w:r>
        <w:t xml:space="preserve"> must inform the Chairman</w:t>
      </w:r>
      <w:r w:rsidR="008E12CD">
        <w:t xml:space="preserve"> of the action you have taken or are pro</w:t>
      </w:r>
      <w:r>
        <w:t xml:space="preserve">posing to take, and the Chairman will inform the </w:t>
      </w:r>
      <w:r w:rsidR="001E2D71">
        <w:t>Governing Body</w:t>
      </w:r>
      <w:r>
        <w:t xml:space="preserve"> </w:t>
      </w:r>
      <w:r w:rsidR="008E12CD">
        <w:t xml:space="preserve">on the matter.  </w:t>
      </w:r>
    </w:p>
    <w:p w:rsidR="00C86E6E" w:rsidRDefault="00C86E6E" w:rsidP="008E12CD"/>
    <w:p w:rsidR="004E2236" w:rsidRDefault="004E2236" w:rsidP="008E12CD">
      <w:r>
        <w:t xml:space="preserve"> 16.3 </w:t>
      </w:r>
      <w:r w:rsidR="008E12CD">
        <w:t>Disclosures to the media can be made under the law, and will be protected if the fol</w:t>
      </w:r>
      <w:r>
        <w:t xml:space="preserve">lowing circumstances are met: </w:t>
      </w:r>
    </w:p>
    <w:p w:rsidR="004E2236" w:rsidRDefault="008E12CD" w:rsidP="004E2236">
      <w:pPr>
        <w:pStyle w:val="ListParagraph"/>
        <w:numPr>
          <w:ilvl w:val="0"/>
          <w:numId w:val="12"/>
        </w:numPr>
      </w:pPr>
      <w:r>
        <w:t>The disc</w:t>
      </w:r>
      <w:r w:rsidR="004E2236">
        <w:t xml:space="preserve">losure is made in good faith; </w:t>
      </w:r>
    </w:p>
    <w:p w:rsidR="004E2236" w:rsidRDefault="008E12CD" w:rsidP="004E2236">
      <w:pPr>
        <w:pStyle w:val="ListParagraph"/>
        <w:numPr>
          <w:ilvl w:val="0"/>
          <w:numId w:val="11"/>
        </w:numPr>
      </w:pPr>
      <w:r>
        <w:t>The employee reasonably believes the information and any allegat</w:t>
      </w:r>
      <w:r w:rsidR="004E2236">
        <w:t xml:space="preserve">ions are substantially true;  </w:t>
      </w:r>
    </w:p>
    <w:p w:rsidR="008E12CD" w:rsidRDefault="008E12CD" w:rsidP="004E2236">
      <w:pPr>
        <w:pStyle w:val="ListParagraph"/>
        <w:numPr>
          <w:ilvl w:val="0"/>
          <w:numId w:val="11"/>
        </w:numPr>
      </w:pPr>
      <w:r>
        <w:t xml:space="preserve">The employee does not act for personal gain. </w:t>
      </w:r>
    </w:p>
    <w:p w:rsidR="00C86E6E" w:rsidRDefault="00C86E6E" w:rsidP="008E12CD"/>
    <w:p w:rsidR="004E2236" w:rsidRDefault="008E12CD" w:rsidP="008E12CD">
      <w:r>
        <w:t xml:space="preserve"> 16.4  </w:t>
      </w:r>
      <w:r w:rsidR="004E2236">
        <w:t xml:space="preserve"> </w:t>
      </w:r>
      <w:r>
        <w:t>Additionally, one or more of the foll</w:t>
      </w:r>
      <w:r w:rsidR="004E2236">
        <w:t xml:space="preserve">owing conditions must be met: </w:t>
      </w:r>
    </w:p>
    <w:p w:rsidR="004E2236" w:rsidRDefault="008E12CD" w:rsidP="004E2236">
      <w:pPr>
        <w:pStyle w:val="ListParagraph"/>
        <w:numPr>
          <w:ilvl w:val="0"/>
          <w:numId w:val="13"/>
        </w:numPr>
      </w:pPr>
      <w:r>
        <w:t>The Worker reasonably believes they would be subjected to a detriment if disclosure were made to the em</w:t>
      </w:r>
      <w:r w:rsidR="004E2236">
        <w:t xml:space="preserve">ployer or prescribed person; </w:t>
      </w:r>
    </w:p>
    <w:p w:rsidR="004E2236" w:rsidRDefault="008E12CD" w:rsidP="004E2236">
      <w:pPr>
        <w:pStyle w:val="ListParagraph"/>
        <w:numPr>
          <w:ilvl w:val="0"/>
          <w:numId w:val="13"/>
        </w:numPr>
      </w:pPr>
      <w:r>
        <w:t>In the absence of an appropriate prescribed person, the Worker reasonably believes a disclosure to their employer would result in the destruction or concealment of info</w:t>
      </w:r>
      <w:r w:rsidR="004E2236">
        <w:t xml:space="preserve">rmation about the wrongdoing; </w:t>
      </w:r>
    </w:p>
    <w:p w:rsidR="004E2236" w:rsidRDefault="008E12CD" w:rsidP="004E2236">
      <w:pPr>
        <w:pStyle w:val="ListParagraph"/>
        <w:numPr>
          <w:ilvl w:val="0"/>
          <w:numId w:val="13"/>
        </w:numPr>
      </w:pPr>
      <w:r>
        <w:t>The Worker has previously disclosed substantially the same information to their emplo</w:t>
      </w:r>
      <w:r w:rsidR="004E2236">
        <w:t xml:space="preserve">yer or prescribed person; and </w:t>
      </w:r>
    </w:p>
    <w:p w:rsidR="008E12CD" w:rsidRDefault="008E12CD" w:rsidP="004E2236">
      <w:pPr>
        <w:pStyle w:val="ListParagraph"/>
        <w:numPr>
          <w:ilvl w:val="0"/>
          <w:numId w:val="13"/>
        </w:numPr>
      </w:pPr>
      <w:r>
        <w:t xml:space="preserve">It must be reasonable to make the disclosure. </w:t>
      </w:r>
    </w:p>
    <w:p w:rsidR="00C86E6E" w:rsidRDefault="00C86E6E" w:rsidP="008E12CD"/>
    <w:p w:rsidR="00C86E6E" w:rsidRDefault="00C86E6E" w:rsidP="008E12CD"/>
    <w:p w:rsidR="00C86E6E" w:rsidRDefault="00C86E6E" w:rsidP="008E12CD"/>
    <w:p w:rsidR="00C86E6E" w:rsidRDefault="00C86E6E" w:rsidP="008E12CD"/>
    <w:p w:rsidR="0079572B" w:rsidRDefault="008E12CD" w:rsidP="008E12CD">
      <w:r>
        <w:t xml:space="preserve"> </w:t>
      </w:r>
      <w:r w:rsidR="004E2236">
        <w:t xml:space="preserve">16.5 </w:t>
      </w:r>
      <w:r>
        <w:t>Please be aware that premature contact with the media, where none of the conditions above are met, may result in disciplinary action under the NISQ ’s</w:t>
      </w:r>
      <w:r w:rsidR="004E2236">
        <w:t xml:space="preserve"> employee’s rules and regulations.</w:t>
      </w:r>
    </w:p>
    <w:p w:rsidR="008E12CD" w:rsidRDefault="008E12CD" w:rsidP="008E12CD"/>
    <w:p w:rsidR="008E12CD" w:rsidRDefault="008E12CD" w:rsidP="004E2236">
      <w:pPr>
        <w:pStyle w:val="ListParagraph"/>
        <w:numPr>
          <w:ilvl w:val="0"/>
          <w:numId w:val="14"/>
        </w:numPr>
        <w:spacing w:after="0"/>
      </w:pPr>
      <w:r>
        <w:t xml:space="preserve">Local Government Ombudsman </w:t>
      </w:r>
      <w:proofErr w:type="gramStart"/>
      <w:r>
        <w:t>www.lgo.org.uk  Tel.</w:t>
      </w:r>
      <w:proofErr w:type="gramEnd"/>
      <w:r>
        <w:t xml:space="preserve"> 0300 061 0614 </w:t>
      </w:r>
    </w:p>
    <w:p w:rsidR="008E12CD" w:rsidRDefault="008E12CD" w:rsidP="004E2236">
      <w:pPr>
        <w:spacing w:after="0"/>
        <w:ind w:firstLine="45"/>
      </w:pPr>
    </w:p>
    <w:p w:rsidR="008E12CD" w:rsidRDefault="008E12CD" w:rsidP="004E2236">
      <w:pPr>
        <w:pStyle w:val="ListParagraph"/>
        <w:numPr>
          <w:ilvl w:val="0"/>
          <w:numId w:val="14"/>
        </w:numPr>
        <w:spacing w:after="0"/>
      </w:pPr>
      <w:r>
        <w:t xml:space="preserve">Information Commissioner’s Office </w:t>
      </w:r>
      <w:proofErr w:type="gramStart"/>
      <w:r>
        <w:t>www.ico.gov.uk  Tel.</w:t>
      </w:r>
      <w:proofErr w:type="gramEnd"/>
      <w:r>
        <w:t xml:space="preserve"> 0303 123 1113 </w:t>
      </w:r>
    </w:p>
    <w:p w:rsidR="008E12CD" w:rsidRDefault="008E12CD" w:rsidP="004E2236">
      <w:pPr>
        <w:spacing w:after="0"/>
        <w:ind w:firstLine="45"/>
      </w:pPr>
    </w:p>
    <w:p w:rsidR="008E12CD" w:rsidRDefault="008E12CD" w:rsidP="004E2236">
      <w:pPr>
        <w:pStyle w:val="ListParagraph"/>
        <w:numPr>
          <w:ilvl w:val="0"/>
          <w:numId w:val="14"/>
        </w:numPr>
        <w:spacing w:after="0"/>
      </w:pPr>
      <w:r>
        <w:t xml:space="preserve">Equality and Human Rights Commission </w:t>
      </w:r>
      <w:proofErr w:type="gramStart"/>
      <w:r>
        <w:t>www.equalityhumanrights.com  Tel.</w:t>
      </w:r>
      <w:proofErr w:type="gramEnd"/>
      <w:r>
        <w:t xml:space="preserve"> 0845 604 6610 </w:t>
      </w:r>
    </w:p>
    <w:p w:rsidR="008E12CD" w:rsidRDefault="008E12CD" w:rsidP="004E2236">
      <w:pPr>
        <w:spacing w:after="0"/>
        <w:ind w:firstLine="45"/>
      </w:pPr>
    </w:p>
    <w:p w:rsidR="008E12CD" w:rsidRDefault="008E12CD" w:rsidP="004E2236">
      <w:pPr>
        <w:pStyle w:val="ListParagraph"/>
        <w:numPr>
          <w:ilvl w:val="0"/>
          <w:numId w:val="14"/>
        </w:numPr>
        <w:spacing w:after="0"/>
      </w:pPr>
      <w:r>
        <w:t xml:space="preserve">Ofsted </w:t>
      </w:r>
      <w:proofErr w:type="gramStart"/>
      <w:r>
        <w:t>www.ofsted.gov.uk  Tel.</w:t>
      </w:r>
      <w:proofErr w:type="gramEnd"/>
      <w:r>
        <w:t xml:space="preserve"> 0300 123 4666 </w:t>
      </w:r>
    </w:p>
    <w:p w:rsidR="004E2236" w:rsidRDefault="004E2236" w:rsidP="004E2236">
      <w:pPr>
        <w:spacing w:after="0"/>
      </w:pPr>
    </w:p>
    <w:p w:rsidR="004E2236" w:rsidRDefault="004E2236" w:rsidP="004E2236">
      <w:pPr>
        <w:spacing w:after="0"/>
      </w:pPr>
    </w:p>
    <w:p w:rsidR="008E12CD" w:rsidRDefault="008E12CD" w:rsidP="004E2236">
      <w:pPr>
        <w:spacing w:after="0"/>
      </w:pPr>
      <w:r>
        <w:t xml:space="preserve"> </w:t>
      </w:r>
    </w:p>
    <w:p w:rsidR="00C86E6E" w:rsidRDefault="00C86E6E" w:rsidP="004E2236">
      <w:pPr>
        <w:spacing w:after="0"/>
      </w:pPr>
    </w:p>
    <w:p w:rsidR="00C86E6E" w:rsidRDefault="00C86E6E" w:rsidP="004E2236">
      <w:pPr>
        <w:spacing w:after="0"/>
      </w:pPr>
    </w:p>
    <w:p w:rsidR="00C86E6E" w:rsidRDefault="00C86E6E" w:rsidP="004E2236">
      <w:pPr>
        <w:spacing w:after="0"/>
      </w:pPr>
    </w:p>
    <w:p w:rsidR="00C86E6E" w:rsidRDefault="00C86E6E" w:rsidP="004E2236">
      <w:pPr>
        <w:spacing w:after="0"/>
      </w:pPr>
      <w:r>
        <w:t>William McDowell</w:t>
      </w:r>
    </w:p>
    <w:p w:rsidR="00C86E6E" w:rsidRDefault="008931C3" w:rsidP="004E2236">
      <w:pPr>
        <w:spacing w:after="0"/>
      </w:pPr>
      <w:r>
        <w:t>Director Qualification Division</w:t>
      </w:r>
      <w:r w:rsidR="00C86E6E">
        <w:t xml:space="preserve"> NISQ</w:t>
      </w: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sectPr w:rsidR="00E54A08" w:rsidSect="008931C3">
          <w:headerReference w:type="default" r:id="rId8"/>
          <w:footerReference w:type="default" r:id="rId9"/>
          <w:pgSz w:w="11906" w:h="16838"/>
          <w:pgMar w:top="1440" w:right="1440" w:bottom="1440" w:left="1440" w:header="708" w:footer="708" w:gutter="0"/>
          <w:pgBorders w:offsetFrom="page">
            <w:top w:val="single" w:sz="18" w:space="24" w:color="FFD966"/>
            <w:left w:val="single" w:sz="18" w:space="24" w:color="FFD966"/>
            <w:bottom w:val="single" w:sz="18" w:space="24" w:color="FFD966"/>
            <w:right w:val="single" w:sz="18" w:space="24" w:color="FFD966"/>
          </w:pgBorders>
          <w:cols w:space="708"/>
          <w:docGrid w:linePitch="360"/>
        </w:sectPr>
      </w:pPr>
    </w:p>
    <w:p w:rsidR="00E54A08" w:rsidRDefault="00E54A08" w:rsidP="00E54A08">
      <w:pPr>
        <w:pStyle w:val="Heading1"/>
      </w:pPr>
      <w:r>
        <w:lastRenderedPageBreak/>
        <w:t>Risk, Adverse Effect and Review</w:t>
      </w:r>
    </w:p>
    <w:p w:rsidR="00E54A08" w:rsidRPr="009149F1" w:rsidRDefault="00E54A08" w:rsidP="00E54A08">
      <w:pPr>
        <w:tabs>
          <w:tab w:val="left" w:pos="1140"/>
        </w:tabs>
        <w:rPr>
          <w:b/>
          <w:sz w:val="40"/>
          <w:szCs w:val="40"/>
        </w:rPr>
      </w:pPr>
      <w:r w:rsidRPr="009149F1">
        <w:rPr>
          <w:b/>
          <w:sz w:val="40"/>
          <w:szCs w:val="40"/>
        </w:rPr>
        <w:t>The following risk rating structure provides some guidance</w:t>
      </w:r>
    </w:p>
    <w:p w:rsidR="00E54A08" w:rsidRPr="009149F1" w:rsidRDefault="00E54A08" w:rsidP="00E54A08">
      <w:pPr>
        <w:tabs>
          <w:tab w:val="left" w:pos="1140"/>
        </w:tabs>
        <w:rPr>
          <w:b/>
          <w:sz w:val="40"/>
          <w:szCs w:val="40"/>
        </w:rPr>
      </w:pPr>
      <w:r w:rsidRPr="009149F1">
        <w:rPr>
          <w:b/>
          <w:sz w:val="40"/>
          <w:szCs w:val="40"/>
        </w:rPr>
        <w:t>•</w:t>
      </w:r>
      <w:r w:rsidRPr="009149F1">
        <w:rPr>
          <w:b/>
          <w:sz w:val="40"/>
          <w:szCs w:val="40"/>
        </w:rPr>
        <w:tab/>
        <w:t xml:space="preserve">1 Minor - could cause some embarrassment to NISQ if information came to light. Could result in non-compliance and may escalate if no action taken. </w:t>
      </w:r>
    </w:p>
    <w:p w:rsidR="00E54A08" w:rsidRPr="009149F1" w:rsidRDefault="00E54A08" w:rsidP="00E54A08">
      <w:pPr>
        <w:tabs>
          <w:tab w:val="left" w:pos="1140"/>
        </w:tabs>
        <w:rPr>
          <w:b/>
          <w:sz w:val="40"/>
          <w:szCs w:val="40"/>
        </w:rPr>
      </w:pPr>
      <w:r w:rsidRPr="009149F1">
        <w:rPr>
          <w:b/>
          <w:sz w:val="40"/>
          <w:szCs w:val="40"/>
        </w:rPr>
        <w:t>•</w:t>
      </w:r>
      <w:r w:rsidRPr="009149F1">
        <w:rPr>
          <w:b/>
          <w:sz w:val="40"/>
          <w:szCs w:val="40"/>
        </w:rPr>
        <w:tab/>
        <w:t xml:space="preserve">2 Moderate - the risk has already been identified and actions put in place however there has been one occurrence. </w:t>
      </w:r>
    </w:p>
    <w:p w:rsidR="00E54A08" w:rsidRDefault="00E54A08" w:rsidP="00E54A08">
      <w:pPr>
        <w:tabs>
          <w:tab w:val="left" w:pos="1140"/>
        </w:tabs>
        <w:rPr>
          <w:b/>
          <w:sz w:val="40"/>
          <w:szCs w:val="40"/>
        </w:rPr>
      </w:pPr>
      <w:r w:rsidRPr="009149F1">
        <w:rPr>
          <w:b/>
          <w:sz w:val="40"/>
          <w:szCs w:val="40"/>
        </w:rPr>
        <w:t>•</w:t>
      </w:r>
      <w:r w:rsidRPr="009149F1">
        <w:rPr>
          <w:b/>
          <w:sz w:val="40"/>
          <w:szCs w:val="40"/>
        </w:rPr>
        <w:tab/>
        <w:t>3 Significant - may impact a number of NISQ Approved Centres, Learners and/or third parties and has the potential for reputational damage, regulatory non-compliance, loss in Public Confidence</w:t>
      </w:r>
    </w:p>
    <w:p w:rsidR="00E54A08" w:rsidRDefault="00E54A08" w:rsidP="00E54A08">
      <w:pPr>
        <w:tabs>
          <w:tab w:val="left" w:pos="1140"/>
        </w:tabs>
        <w:rPr>
          <w:b/>
          <w:sz w:val="40"/>
          <w:szCs w:val="40"/>
        </w:rPr>
      </w:pPr>
    </w:p>
    <w:p w:rsidR="00E54A08" w:rsidRDefault="00E54A08" w:rsidP="00E54A08">
      <w:pPr>
        <w:tabs>
          <w:tab w:val="left" w:pos="1140"/>
        </w:tabs>
        <w:rPr>
          <w:b/>
          <w:sz w:val="40"/>
          <w:szCs w:val="40"/>
        </w:rPr>
      </w:pPr>
    </w:p>
    <w:p w:rsidR="00E54A08" w:rsidRDefault="00E54A08" w:rsidP="00E54A08">
      <w:pPr>
        <w:tabs>
          <w:tab w:val="left" w:pos="1140"/>
        </w:tabs>
        <w:rPr>
          <w:b/>
          <w:sz w:val="40"/>
          <w:szCs w:val="40"/>
        </w:rPr>
      </w:pPr>
    </w:p>
    <w:p w:rsidR="00E54A08" w:rsidRDefault="00E54A08" w:rsidP="00E54A08">
      <w:pPr>
        <w:tabs>
          <w:tab w:val="left" w:pos="1140"/>
        </w:tabs>
        <w:rPr>
          <w:b/>
          <w:sz w:val="40"/>
          <w:szCs w:val="40"/>
        </w:rPr>
      </w:pPr>
    </w:p>
    <w:p w:rsidR="00E54A08" w:rsidRDefault="00E54A08" w:rsidP="00E54A08">
      <w:pPr>
        <w:tabs>
          <w:tab w:val="left" w:pos="1140"/>
        </w:tabs>
        <w:rPr>
          <w:b/>
          <w:sz w:val="40"/>
          <w:szCs w:val="40"/>
        </w:rPr>
      </w:pPr>
    </w:p>
    <w:tbl>
      <w:tblPr>
        <w:tblStyle w:val="TableGrid"/>
        <w:tblW w:w="0" w:type="auto"/>
        <w:tblLook w:val="04A0" w:firstRow="1" w:lastRow="0" w:firstColumn="1" w:lastColumn="0" w:noHBand="0" w:noVBand="1"/>
      </w:tblPr>
      <w:tblGrid>
        <w:gridCol w:w="1933"/>
        <w:gridCol w:w="1417"/>
        <w:gridCol w:w="2126"/>
        <w:gridCol w:w="2410"/>
        <w:gridCol w:w="2126"/>
      </w:tblGrid>
      <w:tr w:rsidR="00E54A08" w:rsidTr="00DE4663">
        <w:tc>
          <w:tcPr>
            <w:tcW w:w="1555" w:type="dxa"/>
            <w:tcBorders>
              <w:top w:val="single" w:sz="12" w:space="0" w:color="auto"/>
              <w:left w:val="single" w:sz="12" w:space="0" w:color="auto"/>
              <w:bottom w:val="single" w:sz="4" w:space="0" w:color="FFFFFF" w:themeColor="background1"/>
              <w:right w:val="single" w:sz="12" w:space="0" w:color="auto"/>
            </w:tcBorders>
          </w:tcPr>
          <w:p w:rsidR="00E54A08" w:rsidRDefault="00E54A08" w:rsidP="00DE4663">
            <w:pPr>
              <w:jc w:val="center"/>
            </w:pPr>
          </w:p>
        </w:tc>
        <w:tc>
          <w:tcPr>
            <w:tcW w:w="1417" w:type="dxa"/>
            <w:tcBorders>
              <w:top w:val="single" w:sz="12" w:space="0" w:color="auto"/>
              <w:left w:val="single" w:sz="12" w:space="0" w:color="auto"/>
              <w:bottom w:val="single" w:sz="12" w:space="0" w:color="auto"/>
              <w:right w:val="single" w:sz="12" w:space="0" w:color="auto"/>
            </w:tcBorders>
          </w:tcPr>
          <w:p w:rsidR="00E54A08" w:rsidRDefault="00E54A08" w:rsidP="00DE4663"/>
          <w:p w:rsidR="00E54A08" w:rsidRDefault="00E54A08" w:rsidP="00DE4663">
            <w:pPr>
              <w:jc w:val="center"/>
            </w:pPr>
            <w:r>
              <w:t>Has Occurred</w:t>
            </w:r>
          </w:p>
          <w:p w:rsidR="00E54A08" w:rsidRDefault="00E54A08" w:rsidP="00DE4663">
            <w:pPr>
              <w:jc w:val="center"/>
            </w:pPr>
          </w:p>
        </w:tc>
        <w:tc>
          <w:tcPr>
            <w:tcW w:w="2126" w:type="dxa"/>
            <w:tcBorders>
              <w:top w:val="single" w:sz="12" w:space="0" w:color="auto"/>
              <w:left w:val="single" w:sz="12" w:space="0" w:color="auto"/>
              <w:bottom w:val="single" w:sz="12" w:space="0" w:color="auto"/>
              <w:right w:val="single" w:sz="12" w:space="0" w:color="auto"/>
            </w:tcBorders>
            <w:shd w:val="clear" w:color="auto" w:fill="FFC000"/>
          </w:tcPr>
          <w:p w:rsidR="00E54A08" w:rsidRDefault="00E54A08" w:rsidP="00DE4663">
            <w:pPr>
              <w:jc w:val="center"/>
            </w:pPr>
          </w:p>
        </w:tc>
        <w:tc>
          <w:tcPr>
            <w:tcW w:w="2410" w:type="dxa"/>
            <w:tcBorders>
              <w:top w:val="single" w:sz="12" w:space="0" w:color="auto"/>
              <w:left w:val="single" w:sz="12" w:space="0" w:color="auto"/>
              <w:bottom w:val="single" w:sz="12" w:space="0" w:color="auto"/>
              <w:right w:val="single" w:sz="12" w:space="0" w:color="auto"/>
            </w:tcBorders>
            <w:shd w:val="clear" w:color="auto" w:fill="FF0000"/>
          </w:tcPr>
          <w:p w:rsidR="00E54A08" w:rsidRDefault="00E54A08" w:rsidP="00DE4663">
            <w:pPr>
              <w:jc w:val="center"/>
            </w:pPr>
          </w:p>
        </w:tc>
        <w:tc>
          <w:tcPr>
            <w:tcW w:w="2126" w:type="dxa"/>
            <w:tcBorders>
              <w:top w:val="single" w:sz="12" w:space="0" w:color="auto"/>
              <w:left w:val="single" w:sz="12" w:space="0" w:color="auto"/>
              <w:bottom w:val="single" w:sz="12" w:space="0" w:color="auto"/>
              <w:right w:val="single" w:sz="12" w:space="0" w:color="auto"/>
            </w:tcBorders>
            <w:shd w:val="clear" w:color="auto" w:fill="FF0000"/>
          </w:tcPr>
          <w:p w:rsidR="00E54A08" w:rsidRDefault="00E54A08" w:rsidP="00DE4663">
            <w:pPr>
              <w:jc w:val="center"/>
            </w:pPr>
          </w:p>
        </w:tc>
      </w:tr>
      <w:tr w:rsidR="00E54A08" w:rsidTr="00DE4663">
        <w:tc>
          <w:tcPr>
            <w:tcW w:w="1555" w:type="dxa"/>
            <w:tcBorders>
              <w:top w:val="single" w:sz="4" w:space="0" w:color="FFFFFF" w:themeColor="background1"/>
              <w:left w:val="single" w:sz="12" w:space="0" w:color="auto"/>
              <w:bottom w:val="single" w:sz="4" w:space="0" w:color="FFFFFF" w:themeColor="background1"/>
              <w:right w:val="single" w:sz="12" w:space="0" w:color="auto"/>
            </w:tcBorders>
          </w:tcPr>
          <w:p w:rsidR="00E54A08" w:rsidRPr="00160528" w:rsidRDefault="00E54A08" w:rsidP="00DE4663">
            <w:pPr>
              <w:jc w:val="center"/>
              <w:rPr>
                <w:b/>
                <w:sz w:val="40"/>
                <w:szCs w:val="40"/>
              </w:rPr>
            </w:pPr>
            <w:r w:rsidRPr="00160528">
              <w:rPr>
                <w:b/>
                <w:sz w:val="40"/>
                <w:szCs w:val="40"/>
              </w:rPr>
              <w:t>Likelihood</w:t>
            </w:r>
          </w:p>
        </w:tc>
        <w:tc>
          <w:tcPr>
            <w:tcW w:w="1417" w:type="dxa"/>
            <w:tcBorders>
              <w:top w:val="single" w:sz="12" w:space="0" w:color="auto"/>
              <w:left w:val="single" w:sz="12" w:space="0" w:color="auto"/>
              <w:bottom w:val="single" w:sz="12" w:space="0" w:color="auto"/>
              <w:right w:val="single" w:sz="12" w:space="0" w:color="auto"/>
            </w:tcBorders>
          </w:tcPr>
          <w:p w:rsidR="00E54A08" w:rsidRDefault="00E54A08" w:rsidP="00DE4663">
            <w:pPr>
              <w:jc w:val="center"/>
            </w:pPr>
          </w:p>
          <w:p w:rsidR="00E54A08" w:rsidRDefault="00E54A08" w:rsidP="00DE4663">
            <w:pPr>
              <w:jc w:val="center"/>
            </w:pPr>
            <w:r>
              <w:t>Will Occur</w:t>
            </w:r>
          </w:p>
          <w:p w:rsidR="00E54A08" w:rsidRDefault="00E54A08" w:rsidP="00DE4663">
            <w:pPr>
              <w:jc w:val="center"/>
            </w:pPr>
          </w:p>
        </w:tc>
        <w:tc>
          <w:tcPr>
            <w:tcW w:w="2126" w:type="dxa"/>
            <w:tcBorders>
              <w:top w:val="single" w:sz="12" w:space="0" w:color="auto"/>
              <w:left w:val="single" w:sz="12" w:space="0" w:color="auto"/>
              <w:bottom w:val="single" w:sz="12" w:space="0" w:color="auto"/>
              <w:right w:val="single" w:sz="12" w:space="0" w:color="auto"/>
            </w:tcBorders>
            <w:shd w:val="clear" w:color="auto" w:fill="FFFF00"/>
          </w:tcPr>
          <w:p w:rsidR="00E54A08" w:rsidRDefault="00E54A08" w:rsidP="00DE4663">
            <w:pPr>
              <w:jc w:val="center"/>
            </w:pPr>
          </w:p>
        </w:tc>
        <w:tc>
          <w:tcPr>
            <w:tcW w:w="2410" w:type="dxa"/>
            <w:tcBorders>
              <w:top w:val="single" w:sz="12" w:space="0" w:color="auto"/>
              <w:left w:val="single" w:sz="12" w:space="0" w:color="auto"/>
              <w:bottom w:val="single" w:sz="12" w:space="0" w:color="auto"/>
              <w:right w:val="single" w:sz="12" w:space="0" w:color="auto"/>
            </w:tcBorders>
            <w:shd w:val="clear" w:color="auto" w:fill="FFC000"/>
          </w:tcPr>
          <w:p w:rsidR="00E54A08" w:rsidRDefault="00E54A08" w:rsidP="00DE4663">
            <w:pPr>
              <w:jc w:val="center"/>
            </w:pPr>
          </w:p>
        </w:tc>
        <w:tc>
          <w:tcPr>
            <w:tcW w:w="2126" w:type="dxa"/>
            <w:tcBorders>
              <w:top w:val="single" w:sz="12" w:space="0" w:color="auto"/>
              <w:left w:val="single" w:sz="12" w:space="0" w:color="auto"/>
              <w:bottom w:val="single" w:sz="12" w:space="0" w:color="auto"/>
              <w:right w:val="single" w:sz="12" w:space="0" w:color="auto"/>
            </w:tcBorders>
            <w:shd w:val="clear" w:color="auto" w:fill="FF0000"/>
          </w:tcPr>
          <w:p w:rsidR="00E54A08" w:rsidRDefault="00E54A08" w:rsidP="00DE4663">
            <w:pPr>
              <w:jc w:val="center"/>
            </w:pPr>
          </w:p>
          <w:p w:rsidR="00E54A08" w:rsidRDefault="00E54A08" w:rsidP="00DE4663">
            <w:pPr>
              <w:jc w:val="center"/>
            </w:pPr>
          </w:p>
          <w:p w:rsidR="00E54A08" w:rsidRDefault="00E54A08" w:rsidP="00DE4663">
            <w:pPr>
              <w:jc w:val="center"/>
            </w:pPr>
          </w:p>
          <w:p w:rsidR="00E54A08" w:rsidRDefault="00E54A08" w:rsidP="00DE4663">
            <w:pPr>
              <w:jc w:val="center"/>
            </w:pPr>
          </w:p>
        </w:tc>
      </w:tr>
      <w:tr w:rsidR="00E54A08" w:rsidTr="00DE4663">
        <w:tc>
          <w:tcPr>
            <w:tcW w:w="1555" w:type="dxa"/>
            <w:tcBorders>
              <w:top w:val="single" w:sz="4" w:space="0" w:color="FFFFFF" w:themeColor="background1"/>
              <w:left w:val="single" w:sz="12" w:space="0" w:color="auto"/>
              <w:bottom w:val="single" w:sz="12" w:space="0" w:color="auto"/>
              <w:right w:val="single" w:sz="12" w:space="0" w:color="auto"/>
            </w:tcBorders>
          </w:tcPr>
          <w:p w:rsidR="00E54A08" w:rsidRDefault="00E54A08" w:rsidP="00DE4663">
            <w:pPr>
              <w:jc w:val="center"/>
            </w:pPr>
          </w:p>
        </w:tc>
        <w:tc>
          <w:tcPr>
            <w:tcW w:w="1417" w:type="dxa"/>
            <w:tcBorders>
              <w:top w:val="single" w:sz="12" w:space="0" w:color="auto"/>
              <w:left w:val="single" w:sz="12" w:space="0" w:color="auto"/>
              <w:bottom w:val="single" w:sz="12" w:space="0" w:color="auto"/>
              <w:right w:val="single" w:sz="12" w:space="0" w:color="auto"/>
            </w:tcBorders>
          </w:tcPr>
          <w:p w:rsidR="00E54A08" w:rsidRDefault="00E54A08" w:rsidP="00DE4663">
            <w:pPr>
              <w:jc w:val="center"/>
            </w:pPr>
          </w:p>
          <w:p w:rsidR="00E54A08" w:rsidRDefault="00E54A08" w:rsidP="00DE4663">
            <w:pPr>
              <w:jc w:val="center"/>
            </w:pPr>
            <w:r>
              <w:t xml:space="preserve">May </w:t>
            </w:r>
          </w:p>
          <w:p w:rsidR="00E54A08" w:rsidRDefault="00E54A08" w:rsidP="00DE4663">
            <w:pPr>
              <w:jc w:val="center"/>
            </w:pPr>
            <w:r>
              <w:t>Occur</w:t>
            </w:r>
          </w:p>
          <w:p w:rsidR="00E54A08" w:rsidRDefault="00E54A08" w:rsidP="00DE4663">
            <w:pPr>
              <w:jc w:val="center"/>
            </w:pPr>
          </w:p>
        </w:tc>
        <w:tc>
          <w:tcPr>
            <w:tcW w:w="2126" w:type="dxa"/>
            <w:tcBorders>
              <w:top w:val="single" w:sz="12" w:space="0" w:color="auto"/>
              <w:left w:val="single" w:sz="12" w:space="0" w:color="auto"/>
              <w:bottom w:val="single" w:sz="12" w:space="0" w:color="auto"/>
              <w:right w:val="single" w:sz="12" w:space="0" w:color="auto"/>
            </w:tcBorders>
            <w:shd w:val="clear" w:color="auto" w:fill="FFFF00"/>
          </w:tcPr>
          <w:p w:rsidR="00E54A08" w:rsidRDefault="00E54A08" w:rsidP="00DE4663">
            <w:pPr>
              <w:jc w:val="center"/>
            </w:pPr>
          </w:p>
        </w:tc>
        <w:tc>
          <w:tcPr>
            <w:tcW w:w="2410" w:type="dxa"/>
            <w:tcBorders>
              <w:top w:val="single" w:sz="12" w:space="0" w:color="auto"/>
              <w:left w:val="single" w:sz="12" w:space="0" w:color="auto"/>
              <w:bottom w:val="single" w:sz="12" w:space="0" w:color="auto"/>
              <w:right w:val="single" w:sz="12" w:space="0" w:color="auto"/>
            </w:tcBorders>
            <w:shd w:val="clear" w:color="auto" w:fill="FFFF00"/>
          </w:tcPr>
          <w:p w:rsidR="00E54A08" w:rsidRDefault="00E54A08" w:rsidP="00DE4663">
            <w:pPr>
              <w:jc w:val="center"/>
            </w:pPr>
          </w:p>
        </w:tc>
        <w:tc>
          <w:tcPr>
            <w:tcW w:w="2126" w:type="dxa"/>
            <w:tcBorders>
              <w:top w:val="single" w:sz="12" w:space="0" w:color="auto"/>
              <w:left w:val="single" w:sz="12" w:space="0" w:color="auto"/>
              <w:bottom w:val="single" w:sz="12" w:space="0" w:color="auto"/>
              <w:right w:val="single" w:sz="12" w:space="0" w:color="auto"/>
            </w:tcBorders>
            <w:shd w:val="clear" w:color="auto" w:fill="FFC000"/>
          </w:tcPr>
          <w:p w:rsidR="00E54A08" w:rsidRDefault="00E54A08" w:rsidP="00DE4663">
            <w:pPr>
              <w:jc w:val="center"/>
            </w:pPr>
          </w:p>
        </w:tc>
      </w:tr>
      <w:tr w:rsidR="00E54A08" w:rsidTr="00DE4663">
        <w:tc>
          <w:tcPr>
            <w:tcW w:w="1555" w:type="dxa"/>
            <w:tcBorders>
              <w:top w:val="single" w:sz="12" w:space="0" w:color="auto"/>
              <w:left w:val="single" w:sz="12" w:space="0" w:color="auto"/>
              <w:right w:val="single" w:sz="12" w:space="0" w:color="auto"/>
            </w:tcBorders>
            <w:shd w:val="clear" w:color="auto" w:fill="FF0000"/>
          </w:tcPr>
          <w:p w:rsidR="00E54A08" w:rsidRDefault="00E54A08" w:rsidP="00DE4663">
            <w:pPr>
              <w:jc w:val="center"/>
            </w:pPr>
            <w:r>
              <w:t xml:space="preserve">                                                                                                                                                                                                             </w:t>
            </w:r>
          </w:p>
          <w:p w:rsidR="00E54A08" w:rsidRDefault="00E54A08" w:rsidP="00DE4663">
            <w:pPr>
              <w:jc w:val="center"/>
            </w:pPr>
          </w:p>
          <w:p w:rsidR="00E54A08" w:rsidRDefault="00E54A08" w:rsidP="00DE4663">
            <w:pPr>
              <w:jc w:val="center"/>
            </w:pPr>
          </w:p>
          <w:p w:rsidR="00E54A08" w:rsidRDefault="00E54A08" w:rsidP="00DE4663">
            <w:pPr>
              <w:jc w:val="center"/>
            </w:pPr>
          </w:p>
        </w:tc>
        <w:tc>
          <w:tcPr>
            <w:tcW w:w="1417" w:type="dxa"/>
            <w:tcBorders>
              <w:top w:val="single" w:sz="12" w:space="0" w:color="auto"/>
              <w:left w:val="single" w:sz="12" w:space="0" w:color="auto"/>
              <w:right w:val="single" w:sz="12" w:space="0" w:color="auto"/>
            </w:tcBorders>
          </w:tcPr>
          <w:p w:rsidR="00E54A08" w:rsidRDefault="00E54A08" w:rsidP="00DE4663">
            <w:pPr>
              <w:jc w:val="center"/>
            </w:pPr>
            <w:r>
              <w:t>Immediate Action and Review every Three Days</w:t>
            </w:r>
          </w:p>
        </w:tc>
        <w:tc>
          <w:tcPr>
            <w:tcW w:w="2126" w:type="dxa"/>
            <w:tcBorders>
              <w:top w:val="single" w:sz="12" w:space="0" w:color="auto"/>
              <w:left w:val="single" w:sz="12" w:space="0" w:color="auto"/>
              <w:bottom w:val="single" w:sz="4" w:space="0" w:color="FFFFFF" w:themeColor="background1"/>
              <w:right w:val="single" w:sz="12" w:space="0" w:color="auto"/>
            </w:tcBorders>
          </w:tcPr>
          <w:p w:rsidR="00E54A08" w:rsidRDefault="00E54A08" w:rsidP="00DE4663">
            <w:pPr>
              <w:jc w:val="center"/>
            </w:pPr>
          </w:p>
          <w:p w:rsidR="00E54A08" w:rsidRDefault="00E54A08" w:rsidP="00DE4663">
            <w:pPr>
              <w:jc w:val="center"/>
            </w:pPr>
            <w:r>
              <w:t>Minor</w:t>
            </w:r>
          </w:p>
          <w:p w:rsidR="00E54A08" w:rsidRDefault="00E54A08" w:rsidP="00DE4663">
            <w:pPr>
              <w:jc w:val="center"/>
            </w:pPr>
          </w:p>
        </w:tc>
        <w:tc>
          <w:tcPr>
            <w:tcW w:w="2410" w:type="dxa"/>
            <w:tcBorders>
              <w:top w:val="single" w:sz="12" w:space="0" w:color="auto"/>
              <w:left w:val="single" w:sz="12" w:space="0" w:color="auto"/>
              <w:bottom w:val="single" w:sz="4" w:space="0" w:color="FFFFFF" w:themeColor="background1"/>
              <w:right w:val="single" w:sz="12" w:space="0" w:color="auto"/>
            </w:tcBorders>
          </w:tcPr>
          <w:p w:rsidR="00E54A08" w:rsidRDefault="00E54A08" w:rsidP="00DE4663">
            <w:pPr>
              <w:jc w:val="center"/>
            </w:pPr>
          </w:p>
          <w:p w:rsidR="00E54A08" w:rsidRDefault="00E54A08" w:rsidP="00DE4663">
            <w:pPr>
              <w:jc w:val="center"/>
            </w:pPr>
            <w:r>
              <w:t>Moderate</w:t>
            </w:r>
          </w:p>
        </w:tc>
        <w:tc>
          <w:tcPr>
            <w:tcW w:w="2126" w:type="dxa"/>
            <w:tcBorders>
              <w:top w:val="single" w:sz="12" w:space="0" w:color="auto"/>
              <w:left w:val="single" w:sz="12" w:space="0" w:color="auto"/>
              <w:bottom w:val="single" w:sz="4" w:space="0" w:color="FFFFFF" w:themeColor="background1"/>
              <w:right w:val="single" w:sz="12" w:space="0" w:color="auto"/>
            </w:tcBorders>
          </w:tcPr>
          <w:p w:rsidR="00E54A08" w:rsidRDefault="00E54A08" w:rsidP="00DE4663">
            <w:pPr>
              <w:jc w:val="center"/>
            </w:pPr>
          </w:p>
          <w:p w:rsidR="00E54A08" w:rsidRDefault="00E54A08" w:rsidP="00DE4663">
            <w:pPr>
              <w:jc w:val="center"/>
            </w:pPr>
            <w:r>
              <w:t>Significant</w:t>
            </w:r>
          </w:p>
        </w:tc>
      </w:tr>
      <w:tr w:rsidR="00E54A08" w:rsidTr="00DE4663">
        <w:tc>
          <w:tcPr>
            <w:tcW w:w="1555" w:type="dxa"/>
            <w:tcBorders>
              <w:top w:val="single" w:sz="12" w:space="0" w:color="auto"/>
              <w:left w:val="single" w:sz="12" w:space="0" w:color="auto"/>
              <w:bottom w:val="single" w:sz="12" w:space="0" w:color="auto"/>
              <w:right w:val="single" w:sz="12" w:space="0" w:color="auto"/>
            </w:tcBorders>
            <w:shd w:val="clear" w:color="auto" w:fill="FFC000"/>
          </w:tcPr>
          <w:p w:rsidR="00E54A08" w:rsidRDefault="00E54A08" w:rsidP="00DE4663">
            <w:pPr>
              <w:jc w:val="center"/>
            </w:pPr>
          </w:p>
          <w:p w:rsidR="00E54A08" w:rsidRDefault="00E54A08" w:rsidP="00DE4663">
            <w:pPr>
              <w:jc w:val="center"/>
            </w:pPr>
          </w:p>
          <w:p w:rsidR="00E54A08" w:rsidRDefault="00E54A08" w:rsidP="00DE4663">
            <w:pPr>
              <w:jc w:val="center"/>
            </w:pPr>
          </w:p>
        </w:tc>
        <w:tc>
          <w:tcPr>
            <w:tcW w:w="1417" w:type="dxa"/>
            <w:tcBorders>
              <w:top w:val="single" w:sz="12" w:space="0" w:color="auto"/>
              <w:left w:val="single" w:sz="12" w:space="0" w:color="auto"/>
              <w:bottom w:val="single" w:sz="12" w:space="0" w:color="auto"/>
              <w:right w:val="single" w:sz="12" w:space="0" w:color="auto"/>
            </w:tcBorders>
          </w:tcPr>
          <w:p w:rsidR="00E54A08" w:rsidRDefault="00E54A08" w:rsidP="00DE4663">
            <w:pPr>
              <w:jc w:val="center"/>
            </w:pPr>
            <w:r>
              <w:t>Urgent Action and Review every</w:t>
            </w:r>
          </w:p>
          <w:p w:rsidR="00E54A08" w:rsidRDefault="00E54A08" w:rsidP="00DE4663">
            <w:pPr>
              <w:jc w:val="center"/>
            </w:pPr>
            <w:r>
              <w:t>Seven Days</w:t>
            </w:r>
          </w:p>
        </w:tc>
        <w:tc>
          <w:tcPr>
            <w:tcW w:w="6662" w:type="dxa"/>
            <w:gridSpan w:val="3"/>
            <w:tcBorders>
              <w:top w:val="single" w:sz="12" w:space="0" w:color="auto"/>
              <w:left w:val="single" w:sz="12" w:space="0" w:color="auto"/>
              <w:bottom w:val="single" w:sz="12" w:space="0" w:color="auto"/>
              <w:right w:val="single" w:sz="12" w:space="0" w:color="auto"/>
            </w:tcBorders>
          </w:tcPr>
          <w:p w:rsidR="00E54A08" w:rsidRDefault="00E54A08" w:rsidP="00DE4663">
            <w:pPr>
              <w:jc w:val="center"/>
            </w:pPr>
          </w:p>
          <w:p w:rsidR="00E54A08" w:rsidRPr="00160528" w:rsidRDefault="00E54A08" w:rsidP="00DE4663">
            <w:pPr>
              <w:jc w:val="center"/>
              <w:rPr>
                <w:b/>
                <w:sz w:val="40"/>
                <w:szCs w:val="40"/>
              </w:rPr>
            </w:pPr>
            <w:r w:rsidRPr="00160528">
              <w:rPr>
                <w:b/>
                <w:sz w:val="40"/>
                <w:szCs w:val="40"/>
              </w:rPr>
              <w:t>Adverse Effect Impact</w:t>
            </w:r>
          </w:p>
        </w:tc>
      </w:tr>
      <w:tr w:rsidR="00E54A08" w:rsidTr="00DE4663">
        <w:tc>
          <w:tcPr>
            <w:tcW w:w="1555" w:type="dxa"/>
            <w:tcBorders>
              <w:left w:val="single" w:sz="12" w:space="0" w:color="auto"/>
              <w:bottom w:val="single" w:sz="12" w:space="0" w:color="auto"/>
              <w:right w:val="single" w:sz="12" w:space="0" w:color="auto"/>
            </w:tcBorders>
            <w:shd w:val="clear" w:color="auto" w:fill="FFFF00"/>
          </w:tcPr>
          <w:p w:rsidR="00E54A08" w:rsidRDefault="00E54A08" w:rsidP="00DE4663">
            <w:pPr>
              <w:jc w:val="center"/>
            </w:pPr>
          </w:p>
          <w:p w:rsidR="00E54A08" w:rsidRDefault="00E54A08" w:rsidP="00DE4663">
            <w:pPr>
              <w:jc w:val="center"/>
            </w:pPr>
          </w:p>
          <w:p w:rsidR="00E54A08" w:rsidRDefault="00E54A08" w:rsidP="00DE4663">
            <w:pPr>
              <w:jc w:val="center"/>
            </w:pPr>
          </w:p>
        </w:tc>
        <w:tc>
          <w:tcPr>
            <w:tcW w:w="1417" w:type="dxa"/>
            <w:tcBorders>
              <w:left w:val="single" w:sz="12" w:space="0" w:color="auto"/>
              <w:bottom w:val="single" w:sz="12" w:space="0" w:color="auto"/>
              <w:right w:val="single" w:sz="12" w:space="0" w:color="auto"/>
            </w:tcBorders>
          </w:tcPr>
          <w:p w:rsidR="00E54A08" w:rsidRDefault="00E54A08" w:rsidP="00DE4663">
            <w:pPr>
              <w:jc w:val="center"/>
            </w:pPr>
            <w:r>
              <w:t>Timely Action and Review every 14 days</w:t>
            </w:r>
          </w:p>
        </w:tc>
        <w:tc>
          <w:tcPr>
            <w:tcW w:w="6662" w:type="dxa"/>
            <w:gridSpan w:val="3"/>
            <w:tcBorders>
              <w:left w:val="single" w:sz="12" w:space="0" w:color="auto"/>
              <w:bottom w:val="single" w:sz="4" w:space="0" w:color="FFFFFF" w:themeColor="background1"/>
              <w:right w:val="single" w:sz="12" w:space="0" w:color="auto"/>
            </w:tcBorders>
          </w:tcPr>
          <w:p w:rsidR="00E54A08" w:rsidRDefault="00E54A08" w:rsidP="00DE4663">
            <w:pPr>
              <w:jc w:val="center"/>
            </w:pPr>
          </w:p>
          <w:p w:rsidR="00E54A08" w:rsidRPr="00FB4F3F" w:rsidRDefault="00E54A08" w:rsidP="00DE4663">
            <w:pPr>
              <w:jc w:val="center"/>
              <w:rPr>
                <w:b/>
                <w:sz w:val="40"/>
                <w:szCs w:val="40"/>
              </w:rPr>
            </w:pPr>
            <w:r w:rsidRPr="00FB4F3F">
              <w:rPr>
                <w:b/>
                <w:sz w:val="40"/>
                <w:szCs w:val="40"/>
              </w:rPr>
              <w:t xml:space="preserve">NISQ </w:t>
            </w:r>
          </w:p>
          <w:p w:rsidR="00E54A08" w:rsidRPr="00160528" w:rsidRDefault="00E54A08" w:rsidP="00DE4663">
            <w:pPr>
              <w:jc w:val="center"/>
              <w:rPr>
                <w:b/>
              </w:rPr>
            </w:pPr>
            <w:r w:rsidRPr="00FB4F3F">
              <w:rPr>
                <w:b/>
                <w:sz w:val="40"/>
                <w:szCs w:val="40"/>
              </w:rPr>
              <w:t>Risk and Adverse Effect Matrix</w:t>
            </w:r>
          </w:p>
        </w:tc>
      </w:tr>
      <w:tr w:rsidR="00E54A08" w:rsidTr="00DE4663">
        <w:tc>
          <w:tcPr>
            <w:tcW w:w="2972" w:type="dxa"/>
            <w:gridSpan w:val="2"/>
            <w:tcBorders>
              <w:top w:val="single" w:sz="12" w:space="0" w:color="auto"/>
              <w:left w:val="single" w:sz="12" w:space="0" w:color="auto"/>
              <w:bottom w:val="single" w:sz="12" w:space="0" w:color="auto"/>
              <w:right w:val="single" w:sz="12" w:space="0" w:color="auto"/>
            </w:tcBorders>
          </w:tcPr>
          <w:p w:rsidR="00E54A08" w:rsidRDefault="00E54A08" w:rsidP="00DE4663">
            <w:pPr>
              <w:jc w:val="center"/>
            </w:pPr>
          </w:p>
          <w:p w:rsidR="00E54A08" w:rsidRDefault="00E54A08" w:rsidP="00DE4663">
            <w:pPr>
              <w:jc w:val="center"/>
            </w:pPr>
          </w:p>
        </w:tc>
        <w:tc>
          <w:tcPr>
            <w:tcW w:w="6662" w:type="dxa"/>
            <w:gridSpan w:val="3"/>
            <w:tcBorders>
              <w:top w:val="single" w:sz="4" w:space="0" w:color="FFFFFF" w:themeColor="background1"/>
              <w:left w:val="single" w:sz="12" w:space="0" w:color="auto"/>
              <w:bottom w:val="single" w:sz="12" w:space="0" w:color="auto"/>
              <w:right w:val="single" w:sz="12" w:space="0" w:color="auto"/>
            </w:tcBorders>
          </w:tcPr>
          <w:p w:rsidR="00E54A08" w:rsidRDefault="00E54A08" w:rsidP="00DE4663"/>
        </w:tc>
      </w:tr>
    </w:tbl>
    <w:tbl>
      <w:tblPr>
        <w:tblStyle w:val="TableGrid1"/>
        <w:tblW w:w="0" w:type="auto"/>
        <w:tblLook w:val="04A0" w:firstRow="1" w:lastRow="0" w:firstColumn="1" w:lastColumn="0" w:noHBand="0" w:noVBand="1"/>
      </w:tblPr>
      <w:tblGrid>
        <w:gridCol w:w="3487"/>
        <w:gridCol w:w="3487"/>
        <w:gridCol w:w="3487"/>
        <w:gridCol w:w="3487"/>
      </w:tblGrid>
      <w:tr w:rsidR="00E54A08" w:rsidTr="00DE4663">
        <w:tc>
          <w:tcPr>
            <w:tcW w:w="3487" w:type="dxa"/>
          </w:tcPr>
          <w:p w:rsidR="00E54A08" w:rsidRDefault="00E54A08" w:rsidP="00DE4663">
            <w:r>
              <w:t>Reviewed By</w:t>
            </w:r>
          </w:p>
        </w:tc>
        <w:tc>
          <w:tcPr>
            <w:tcW w:w="3487" w:type="dxa"/>
            <w:shd w:val="clear" w:color="auto" w:fill="FFFF00"/>
          </w:tcPr>
          <w:p w:rsidR="00E54A08" w:rsidRPr="006725A7" w:rsidRDefault="00E54A08" w:rsidP="00DE4663">
            <w:pPr>
              <w:rPr>
                <w:highlight w:val="yellow"/>
              </w:rPr>
            </w:pPr>
            <w:r w:rsidRPr="006725A7">
              <w:rPr>
                <w:highlight w:val="yellow"/>
              </w:rPr>
              <w:t>Minor</w:t>
            </w:r>
          </w:p>
        </w:tc>
        <w:tc>
          <w:tcPr>
            <w:tcW w:w="3487" w:type="dxa"/>
            <w:shd w:val="clear" w:color="auto" w:fill="FFC000"/>
          </w:tcPr>
          <w:p w:rsidR="00E54A08" w:rsidRDefault="00E54A08" w:rsidP="00DE4663">
            <w:r>
              <w:t>Moderate</w:t>
            </w:r>
          </w:p>
        </w:tc>
        <w:tc>
          <w:tcPr>
            <w:tcW w:w="3487" w:type="dxa"/>
            <w:shd w:val="clear" w:color="auto" w:fill="FF0000"/>
          </w:tcPr>
          <w:p w:rsidR="00E54A08" w:rsidRDefault="00E54A08" w:rsidP="00DE4663">
            <w:r>
              <w:t>Significant</w:t>
            </w:r>
          </w:p>
        </w:tc>
      </w:tr>
      <w:tr w:rsidR="00E54A08" w:rsidTr="00DE4663">
        <w:tc>
          <w:tcPr>
            <w:tcW w:w="3487" w:type="dxa"/>
          </w:tcPr>
          <w:p w:rsidR="00E54A08" w:rsidRDefault="00E54A08" w:rsidP="00DE4663">
            <w:r>
              <w:t>Governing Body</w:t>
            </w:r>
          </w:p>
        </w:tc>
        <w:tc>
          <w:tcPr>
            <w:tcW w:w="3487" w:type="dxa"/>
            <w:shd w:val="clear" w:color="auto" w:fill="FFFF00"/>
          </w:tcPr>
          <w:p w:rsidR="00E54A08" w:rsidRPr="006725A7" w:rsidRDefault="00E54A08" w:rsidP="00DE4663">
            <w:pPr>
              <w:rPr>
                <w:highlight w:val="yellow"/>
              </w:rPr>
            </w:pPr>
            <w:r w:rsidRPr="006725A7">
              <w:rPr>
                <w:highlight w:val="yellow"/>
              </w:rPr>
              <w:t>Informed</w:t>
            </w:r>
          </w:p>
        </w:tc>
        <w:tc>
          <w:tcPr>
            <w:tcW w:w="3487" w:type="dxa"/>
            <w:shd w:val="clear" w:color="auto" w:fill="FFC000"/>
          </w:tcPr>
          <w:p w:rsidR="00E54A08" w:rsidRDefault="00E54A08" w:rsidP="00DE4663">
            <w:r>
              <w:t>Reviewed by</w:t>
            </w:r>
          </w:p>
        </w:tc>
        <w:tc>
          <w:tcPr>
            <w:tcW w:w="3487" w:type="dxa"/>
            <w:shd w:val="clear" w:color="auto" w:fill="FF0000"/>
          </w:tcPr>
          <w:p w:rsidR="00E54A08" w:rsidRDefault="00E54A08" w:rsidP="00DE4663">
            <w:r>
              <w:t>Reviewed by</w:t>
            </w:r>
          </w:p>
        </w:tc>
      </w:tr>
      <w:tr w:rsidR="00E54A08" w:rsidTr="00DE4663">
        <w:tc>
          <w:tcPr>
            <w:tcW w:w="3487" w:type="dxa"/>
          </w:tcPr>
          <w:p w:rsidR="00E54A08" w:rsidRDefault="00E54A08" w:rsidP="00DE4663">
            <w:r>
              <w:t>Director Qualification Division</w:t>
            </w:r>
          </w:p>
        </w:tc>
        <w:tc>
          <w:tcPr>
            <w:tcW w:w="3487" w:type="dxa"/>
            <w:shd w:val="clear" w:color="auto" w:fill="FFFF00"/>
          </w:tcPr>
          <w:p w:rsidR="00E54A08" w:rsidRPr="006725A7" w:rsidRDefault="00E54A08" w:rsidP="00DE4663">
            <w:pPr>
              <w:rPr>
                <w:highlight w:val="yellow"/>
              </w:rPr>
            </w:pPr>
            <w:r w:rsidRPr="006725A7">
              <w:rPr>
                <w:highlight w:val="yellow"/>
              </w:rPr>
              <w:t>Reviewed by</w:t>
            </w:r>
          </w:p>
        </w:tc>
        <w:tc>
          <w:tcPr>
            <w:tcW w:w="3487" w:type="dxa"/>
            <w:shd w:val="clear" w:color="auto" w:fill="FFC000"/>
          </w:tcPr>
          <w:p w:rsidR="00E54A08" w:rsidRDefault="00E54A08" w:rsidP="00DE4663">
            <w:r>
              <w:t>Reviewed by</w:t>
            </w:r>
          </w:p>
        </w:tc>
        <w:tc>
          <w:tcPr>
            <w:tcW w:w="3487" w:type="dxa"/>
            <w:shd w:val="clear" w:color="auto" w:fill="FF0000"/>
          </w:tcPr>
          <w:p w:rsidR="00E54A08" w:rsidRDefault="00E54A08" w:rsidP="00DE4663">
            <w:r>
              <w:t>Reviewed by</w:t>
            </w:r>
          </w:p>
        </w:tc>
      </w:tr>
      <w:tr w:rsidR="00E54A08" w:rsidTr="00DE4663">
        <w:tc>
          <w:tcPr>
            <w:tcW w:w="3487" w:type="dxa"/>
          </w:tcPr>
          <w:p w:rsidR="00E54A08" w:rsidRDefault="00E54A08" w:rsidP="00DE4663">
            <w:r>
              <w:t>Chief Compliance Officer</w:t>
            </w:r>
          </w:p>
        </w:tc>
        <w:tc>
          <w:tcPr>
            <w:tcW w:w="3487" w:type="dxa"/>
            <w:shd w:val="clear" w:color="auto" w:fill="FFFF00"/>
          </w:tcPr>
          <w:p w:rsidR="00E54A08" w:rsidRPr="006725A7" w:rsidRDefault="00E54A08" w:rsidP="00DE4663">
            <w:pPr>
              <w:rPr>
                <w:highlight w:val="yellow"/>
              </w:rPr>
            </w:pPr>
            <w:r w:rsidRPr="006725A7">
              <w:rPr>
                <w:highlight w:val="yellow"/>
              </w:rPr>
              <w:t>Reviewed By</w:t>
            </w:r>
          </w:p>
        </w:tc>
        <w:tc>
          <w:tcPr>
            <w:tcW w:w="3487" w:type="dxa"/>
            <w:shd w:val="clear" w:color="auto" w:fill="FFC000"/>
          </w:tcPr>
          <w:p w:rsidR="00E54A08" w:rsidRDefault="00E54A08" w:rsidP="00DE4663">
            <w:r>
              <w:t>Reviewed by</w:t>
            </w:r>
          </w:p>
        </w:tc>
        <w:tc>
          <w:tcPr>
            <w:tcW w:w="3487" w:type="dxa"/>
            <w:shd w:val="clear" w:color="auto" w:fill="FF0000"/>
          </w:tcPr>
          <w:p w:rsidR="00E54A08" w:rsidRDefault="00E54A08" w:rsidP="00DE4663">
            <w:r>
              <w:t>Reviewed by</w:t>
            </w:r>
          </w:p>
        </w:tc>
      </w:tr>
    </w:tbl>
    <w:p w:rsidR="00E54A08" w:rsidRDefault="00E54A08" w:rsidP="00E54A08">
      <w:pPr>
        <w:tabs>
          <w:tab w:val="left" w:pos="1140"/>
        </w:tabs>
        <w:rPr>
          <w:sz w:val="40"/>
          <w:szCs w:val="40"/>
        </w:rPr>
      </w:pPr>
    </w:p>
    <w:p w:rsidR="00E54A08" w:rsidRDefault="00E54A08" w:rsidP="00E54A08">
      <w:pPr>
        <w:rPr>
          <w:sz w:val="40"/>
          <w:szCs w:val="40"/>
        </w:rPr>
      </w:pPr>
    </w:p>
    <w:tbl>
      <w:tblPr>
        <w:tblStyle w:val="TableGrid"/>
        <w:tblW w:w="0" w:type="auto"/>
        <w:tblLook w:val="04A0" w:firstRow="1" w:lastRow="0" w:firstColumn="1" w:lastColumn="0" w:noHBand="0" w:noVBand="1"/>
      </w:tblPr>
      <w:tblGrid>
        <w:gridCol w:w="930"/>
        <w:gridCol w:w="2349"/>
        <w:gridCol w:w="3717"/>
        <w:gridCol w:w="2430"/>
        <w:gridCol w:w="2411"/>
        <w:gridCol w:w="2111"/>
      </w:tblGrid>
      <w:tr w:rsidR="00E54A08" w:rsidRPr="009149F1" w:rsidTr="00DE4663">
        <w:tc>
          <w:tcPr>
            <w:tcW w:w="930" w:type="dxa"/>
          </w:tcPr>
          <w:p w:rsidR="00E54A08" w:rsidRPr="009149F1" w:rsidRDefault="00E54A08" w:rsidP="00DE4663">
            <w:pPr>
              <w:rPr>
                <w:b/>
                <w:sz w:val="28"/>
                <w:szCs w:val="28"/>
              </w:rPr>
            </w:pPr>
            <w:r>
              <w:rPr>
                <w:b/>
                <w:sz w:val="28"/>
                <w:szCs w:val="28"/>
              </w:rPr>
              <w:t>Date</w:t>
            </w:r>
          </w:p>
        </w:tc>
        <w:tc>
          <w:tcPr>
            <w:tcW w:w="2349" w:type="dxa"/>
          </w:tcPr>
          <w:p w:rsidR="00E54A08" w:rsidRDefault="00E54A08" w:rsidP="00DE4663">
            <w:pPr>
              <w:rPr>
                <w:b/>
                <w:sz w:val="28"/>
                <w:szCs w:val="28"/>
              </w:rPr>
            </w:pPr>
            <w:r>
              <w:rPr>
                <w:b/>
                <w:sz w:val="28"/>
                <w:szCs w:val="28"/>
              </w:rPr>
              <w:t>Whistle Blower Reference Number</w:t>
            </w:r>
          </w:p>
          <w:p w:rsidR="00E54A08" w:rsidRPr="009149F1" w:rsidRDefault="00E54A08" w:rsidP="00DE4663">
            <w:pPr>
              <w:rPr>
                <w:b/>
                <w:sz w:val="28"/>
                <w:szCs w:val="28"/>
              </w:rPr>
            </w:pPr>
            <w:r>
              <w:rPr>
                <w:b/>
                <w:sz w:val="28"/>
                <w:szCs w:val="28"/>
              </w:rPr>
              <w:t>-</w:t>
            </w:r>
            <w:r w:rsidRPr="009149F1">
              <w:t>Do Not Place a Name on the Register</w:t>
            </w:r>
          </w:p>
        </w:tc>
        <w:tc>
          <w:tcPr>
            <w:tcW w:w="3717" w:type="dxa"/>
          </w:tcPr>
          <w:p w:rsidR="00E54A08" w:rsidRPr="009149F1" w:rsidRDefault="00E54A08" w:rsidP="00DE4663">
            <w:pPr>
              <w:rPr>
                <w:b/>
                <w:sz w:val="28"/>
                <w:szCs w:val="28"/>
              </w:rPr>
            </w:pPr>
            <w:r>
              <w:rPr>
                <w:b/>
                <w:sz w:val="28"/>
                <w:szCs w:val="28"/>
              </w:rPr>
              <w:t>Details of Report</w:t>
            </w:r>
          </w:p>
        </w:tc>
        <w:tc>
          <w:tcPr>
            <w:tcW w:w="2430" w:type="dxa"/>
          </w:tcPr>
          <w:p w:rsidR="00E54A08" w:rsidRDefault="00E54A08" w:rsidP="00DE4663">
            <w:pPr>
              <w:rPr>
                <w:b/>
                <w:sz w:val="28"/>
                <w:szCs w:val="28"/>
              </w:rPr>
            </w:pPr>
            <w:r>
              <w:rPr>
                <w:b/>
                <w:sz w:val="28"/>
                <w:szCs w:val="28"/>
              </w:rPr>
              <w:t>Adverse Effect Rating</w:t>
            </w:r>
          </w:p>
          <w:p w:rsidR="00E54A08" w:rsidRDefault="00E54A08" w:rsidP="00DE4663">
            <w:pPr>
              <w:rPr>
                <w:b/>
                <w:sz w:val="28"/>
                <w:szCs w:val="28"/>
              </w:rPr>
            </w:pPr>
            <w:r>
              <w:rPr>
                <w:b/>
                <w:sz w:val="28"/>
                <w:szCs w:val="28"/>
              </w:rPr>
              <w:t xml:space="preserve">-Moderate to Significant </w:t>
            </w:r>
          </w:p>
          <w:p w:rsidR="00E54A08" w:rsidRPr="009149F1" w:rsidRDefault="00E54A08" w:rsidP="00DE4663">
            <w:pPr>
              <w:rPr>
                <w:b/>
                <w:sz w:val="28"/>
                <w:szCs w:val="28"/>
              </w:rPr>
            </w:pPr>
            <w:r w:rsidRPr="009149F1">
              <w:t>(taken from NISQ 41 The Risk Register)</w:t>
            </w:r>
          </w:p>
        </w:tc>
        <w:tc>
          <w:tcPr>
            <w:tcW w:w="2411" w:type="dxa"/>
          </w:tcPr>
          <w:p w:rsidR="00E54A08" w:rsidRDefault="00E54A08" w:rsidP="00DE4663">
            <w:pPr>
              <w:rPr>
                <w:b/>
                <w:sz w:val="28"/>
                <w:szCs w:val="28"/>
              </w:rPr>
            </w:pPr>
            <w:r>
              <w:rPr>
                <w:b/>
                <w:sz w:val="28"/>
                <w:szCs w:val="28"/>
              </w:rPr>
              <w:t>Reviewed as per the Risk Matrix</w:t>
            </w:r>
          </w:p>
          <w:p w:rsidR="00E54A08" w:rsidRPr="009149F1" w:rsidRDefault="00E54A08" w:rsidP="00DE4663">
            <w:pPr>
              <w:rPr>
                <w:b/>
                <w:sz w:val="28"/>
                <w:szCs w:val="28"/>
              </w:rPr>
            </w:pPr>
          </w:p>
        </w:tc>
        <w:tc>
          <w:tcPr>
            <w:tcW w:w="2111" w:type="dxa"/>
          </w:tcPr>
          <w:p w:rsidR="00E54A08" w:rsidRDefault="00E54A08" w:rsidP="00DE4663">
            <w:pPr>
              <w:rPr>
                <w:b/>
                <w:sz w:val="28"/>
                <w:szCs w:val="28"/>
              </w:rPr>
            </w:pPr>
            <w:r>
              <w:rPr>
                <w:b/>
                <w:sz w:val="28"/>
                <w:szCs w:val="28"/>
              </w:rPr>
              <w:t>Action Taken/Action Plan,</w:t>
            </w:r>
          </w:p>
          <w:p w:rsidR="00E54A08" w:rsidRPr="00BD456D" w:rsidRDefault="00E54A08" w:rsidP="00DE4663">
            <w:r w:rsidRPr="00BD456D">
              <w:t xml:space="preserve">Signed by the CCO or </w:t>
            </w:r>
          </w:p>
          <w:p w:rsidR="00E54A08" w:rsidRDefault="00E54A08" w:rsidP="00DE4663">
            <w:pPr>
              <w:rPr>
                <w:b/>
                <w:sz w:val="28"/>
                <w:szCs w:val="28"/>
              </w:rPr>
            </w:pPr>
            <w:r w:rsidRPr="00BD456D">
              <w:t>Director QD</w:t>
            </w:r>
          </w:p>
        </w:tc>
      </w:tr>
      <w:tr w:rsidR="00E54A08" w:rsidRPr="009149F1" w:rsidTr="00DE4663">
        <w:tc>
          <w:tcPr>
            <w:tcW w:w="930" w:type="dxa"/>
          </w:tcPr>
          <w:p w:rsidR="00E54A08" w:rsidRDefault="00E54A08" w:rsidP="00DE4663">
            <w:pPr>
              <w:rPr>
                <w:b/>
                <w:sz w:val="28"/>
                <w:szCs w:val="28"/>
              </w:rPr>
            </w:pPr>
          </w:p>
          <w:p w:rsidR="00E54A08" w:rsidRDefault="00E54A08" w:rsidP="00DE4663">
            <w:pPr>
              <w:rPr>
                <w:b/>
                <w:sz w:val="28"/>
                <w:szCs w:val="28"/>
              </w:rPr>
            </w:pPr>
          </w:p>
          <w:p w:rsidR="00E54A08" w:rsidRPr="009149F1" w:rsidRDefault="00E54A08" w:rsidP="00DE4663">
            <w:pPr>
              <w:rPr>
                <w:b/>
                <w:sz w:val="28"/>
                <w:szCs w:val="28"/>
              </w:rPr>
            </w:pPr>
          </w:p>
        </w:tc>
        <w:tc>
          <w:tcPr>
            <w:tcW w:w="2349" w:type="dxa"/>
          </w:tcPr>
          <w:p w:rsidR="00E54A08" w:rsidRPr="009149F1" w:rsidRDefault="00E54A08" w:rsidP="00DE4663">
            <w:pPr>
              <w:rPr>
                <w:b/>
                <w:sz w:val="28"/>
                <w:szCs w:val="28"/>
              </w:rPr>
            </w:pPr>
          </w:p>
        </w:tc>
        <w:tc>
          <w:tcPr>
            <w:tcW w:w="3717" w:type="dxa"/>
          </w:tcPr>
          <w:p w:rsidR="00E54A08" w:rsidRPr="009149F1" w:rsidRDefault="00E54A08" w:rsidP="00DE4663">
            <w:pPr>
              <w:rPr>
                <w:b/>
                <w:sz w:val="28"/>
                <w:szCs w:val="28"/>
              </w:rPr>
            </w:pPr>
          </w:p>
        </w:tc>
        <w:tc>
          <w:tcPr>
            <w:tcW w:w="2430" w:type="dxa"/>
          </w:tcPr>
          <w:p w:rsidR="00E54A08" w:rsidRPr="009149F1" w:rsidRDefault="00E54A08" w:rsidP="00DE4663">
            <w:pPr>
              <w:rPr>
                <w:b/>
                <w:sz w:val="28"/>
                <w:szCs w:val="28"/>
              </w:rPr>
            </w:pPr>
          </w:p>
        </w:tc>
        <w:tc>
          <w:tcPr>
            <w:tcW w:w="2411" w:type="dxa"/>
          </w:tcPr>
          <w:p w:rsidR="00E54A08" w:rsidRPr="009149F1" w:rsidRDefault="00E54A08" w:rsidP="00DE4663">
            <w:pPr>
              <w:rPr>
                <w:b/>
                <w:sz w:val="28"/>
                <w:szCs w:val="28"/>
              </w:rPr>
            </w:pPr>
          </w:p>
        </w:tc>
        <w:tc>
          <w:tcPr>
            <w:tcW w:w="2111" w:type="dxa"/>
          </w:tcPr>
          <w:p w:rsidR="00E54A08" w:rsidRPr="009149F1" w:rsidRDefault="00E54A08" w:rsidP="00DE4663">
            <w:pPr>
              <w:rPr>
                <w:b/>
                <w:sz w:val="28"/>
                <w:szCs w:val="28"/>
              </w:rPr>
            </w:pPr>
          </w:p>
        </w:tc>
      </w:tr>
      <w:tr w:rsidR="00E54A08" w:rsidRPr="009149F1" w:rsidTr="00DE4663">
        <w:tc>
          <w:tcPr>
            <w:tcW w:w="930" w:type="dxa"/>
          </w:tcPr>
          <w:p w:rsidR="00E54A08" w:rsidRDefault="00E54A08" w:rsidP="00DE4663">
            <w:pPr>
              <w:rPr>
                <w:b/>
                <w:sz w:val="28"/>
                <w:szCs w:val="28"/>
              </w:rPr>
            </w:pPr>
          </w:p>
          <w:p w:rsidR="00E54A08" w:rsidRDefault="00E54A08" w:rsidP="00DE4663">
            <w:pPr>
              <w:rPr>
                <w:b/>
                <w:sz w:val="28"/>
                <w:szCs w:val="28"/>
              </w:rPr>
            </w:pPr>
          </w:p>
          <w:p w:rsidR="00E54A08" w:rsidRPr="009149F1" w:rsidRDefault="00E54A08" w:rsidP="00DE4663">
            <w:pPr>
              <w:rPr>
                <w:b/>
                <w:sz w:val="28"/>
                <w:szCs w:val="28"/>
              </w:rPr>
            </w:pPr>
          </w:p>
        </w:tc>
        <w:tc>
          <w:tcPr>
            <w:tcW w:w="2349" w:type="dxa"/>
          </w:tcPr>
          <w:p w:rsidR="00E54A08" w:rsidRPr="009149F1" w:rsidRDefault="00E54A08" w:rsidP="00DE4663">
            <w:pPr>
              <w:rPr>
                <w:b/>
                <w:sz w:val="28"/>
                <w:szCs w:val="28"/>
              </w:rPr>
            </w:pPr>
          </w:p>
        </w:tc>
        <w:tc>
          <w:tcPr>
            <w:tcW w:w="3717" w:type="dxa"/>
          </w:tcPr>
          <w:p w:rsidR="00E54A08" w:rsidRPr="009149F1" w:rsidRDefault="00E54A08" w:rsidP="00DE4663">
            <w:pPr>
              <w:rPr>
                <w:b/>
                <w:sz w:val="28"/>
                <w:szCs w:val="28"/>
              </w:rPr>
            </w:pPr>
          </w:p>
        </w:tc>
        <w:tc>
          <w:tcPr>
            <w:tcW w:w="2430" w:type="dxa"/>
          </w:tcPr>
          <w:p w:rsidR="00E54A08" w:rsidRPr="009149F1" w:rsidRDefault="00E54A08" w:rsidP="00DE4663">
            <w:pPr>
              <w:rPr>
                <w:b/>
                <w:sz w:val="28"/>
                <w:szCs w:val="28"/>
              </w:rPr>
            </w:pPr>
          </w:p>
        </w:tc>
        <w:tc>
          <w:tcPr>
            <w:tcW w:w="2411" w:type="dxa"/>
          </w:tcPr>
          <w:p w:rsidR="00E54A08" w:rsidRPr="009149F1" w:rsidRDefault="00E54A08" w:rsidP="00DE4663">
            <w:pPr>
              <w:rPr>
                <w:b/>
                <w:sz w:val="28"/>
                <w:szCs w:val="28"/>
              </w:rPr>
            </w:pPr>
          </w:p>
        </w:tc>
        <w:tc>
          <w:tcPr>
            <w:tcW w:w="2111" w:type="dxa"/>
          </w:tcPr>
          <w:p w:rsidR="00E54A08" w:rsidRPr="009149F1" w:rsidRDefault="00E54A08" w:rsidP="00DE4663">
            <w:pPr>
              <w:rPr>
                <w:b/>
                <w:sz w:val="28"/>
                <w:szCs w:val="28"/>
              </w:rPr>
            </w:pPr>
          </w:p>
        </w:tc>
      </w:tr>
      <w:tr w:rsidR="00E54A08" w:rsidRPr="009149F1" w:rsidTr="00DE4663">
        <w:tc>
          <w:tcPr>
            <w:tcW w:w="930" w:type="dxa"/>
          </w:tcPr>
          <w:p w:rsidR="00E54A08" w:rsidRPr="009149F1" w:rsidRDefault="00E54A08" w:rsidP="00DE4663">
            <w:pPr>
              <w:rPr>
                <w:b/>
                <w:sz w:val="28"/>
                <w:szCs w:val="28"/>
              </w:rPr>
            </w:pPr>
            <w:r>
              <w:rPr>
                <w:b/>
                <w:sz w:val="28"/>
                <w:szCs w:val="28"/>
              </w:rPr>
              <w:t>Date</w:t>
            </w:r>
          </w:p>
        </w:tc>
        <w:tc>
          <w:tcPr>
            <w:tcW w:w="2349" w:type="dxa"/>
          </w:tcPr>
          <w:p w:rsidR="00E54A08" w:rsidRDefault="00E54A08" w:rsidP="00DE4663">
            <w:pPr>
              <w:rPr>
                <w:b/>
                <w:sz w:val="28"/>
                <w:szCs w:val="28"/>
              </w:rPr>
            </w:pPr>
            <w:r>
              <w:rPr>
                <w:b/>
                <w:sz w:val="28"/>
                <w:szCs w:val="28"/>
              </w:rPr>
              <w:t>Whistle Blower Reference Number</w:t>
            </w:r>
          </w:p>
          <w:p w:rsidR="00E54A08" w:rsidRPr="009149F1" w:rsidRDefault="00E54A08" w:rsidP="00DE4663">
            <w:pPr>
              <w:rPr>
                <w:b/>
                <w:sz w:val="28"/>
                <w:szCs w:val="28"/>
              </w:rPr>
            </w:pPr>
            <w:r>
              <w:rPr>
                <w:b/>
                <w:sz w:val="28"/>
                <w:szCs w:val="28"/>
              </w:rPr>
              <w:t>-</w:t>
            </w:r>
            <w:r w:rsidRPr="009149F1">
              <w:t>Do Not Place a Name on the Register</w:t>
            </w:r>
          </w:p>
        </w:tc>
        <w:tc>
          <w:tcPr>
            <w:tcW w:w="3717" w:type="dxa"/>
          </w:tcPr>
          <w:p w:rsidR="00E54A08" w:rsidRPr="009149F1" w:rsidRDefault="00E54A08" w:rsidP="00DE4663">
            <w:pPr>
              <w:rPr>
                <w:b/>
                <w:sz w:val="28"/>
                <w:szCs w:val="28"/>
              </w:rPr>
            </w:pPr>
            <w:r>
              <w:rPr>
                <w:b/>
                <w:sz w:val="28"/>
                <w:szCs w:val="28"/>
              </w:rPr>
              <w:t>Details of Report</w:t>
            </w:r>
          </w:p>
        </w:tc>
        <w:tc>
          <w:tcPr>
            <w:tcW w:w="2430" w:type="dxa"/>
          </w:tcPr>
          <w:p w:rsidR="00E54A08" w:rsidRDefault="00E54A08" w:rsidP="00DE4663">
            <w:pPr>
              <w:rPr>
                <w:b/>
                <w:sz w:val="28"/>
                <w:szCs w:val="28"/>
              </w:rPr>
            </w:pPr>
            <w:r>
              <w:rPr>
                <w:b/>
                <w:sz w:val="28"/>
                <w:szCs w:val="28"/>
              </w:rPr>
              <w:t>Adverse Effect Rating</w:t>
            </w:r>
          </w:p>
          <w:p w:rsidR="00E54A08" w:rsidRDefault="00E54A08" w:rsidP="00DE4663">
            <w:pPr>
              <w:rPr>
                <w:b/>
                <w:sz w:val="28"/>
                <w:szCs w:val="28"/>
              </w:rPr>
            </w:pPr>
            <w:r>
              <w:rPr>
                <w:b/>
                <w:sz w:val="28"/>
                <w:szCs w:val="28"/>
              </w:rPr>
              <w:t xml:space="preserve">-Moderate to Significant </w:t>
            </w:r>
          </w:p>
          <w:p w:rsidR="00E54A08" w:rsidRPr="009149F1" w:rsidRDefault="00E54A08" w:rsidP="00DE4663">
            <w:pPr>
              <w:rPr>
                <w:b/>
                <w:sz w:val="28"/>
                <w:szCs w:val="28"/>
              </w:rPr>
            </w:pPr>
            <w:r w:rsidRPr="009149F1">
              <w:t>(taken from NISQ 41 The Risk Register)</w:t>
            </w:r>
          </w:p>
        </w:tc>
        <w:tc>
          <w:tcPr>
            <w:tcW w:w="2411" w:type="dxa"/>
          </w:tcPr>
          <w:p w:rsidR="00E54A08" w:rsidRDefault="00E54A08" w:rsidP="00DE4663">
            <w:pPr>
              <w:rPr>
                <w:b/>
                <w:sz w:val="28"/>
                <w:szCs w:val="28"/>
              </w:rPr>
            </w:pPr>
            <w:r>
              <w:rPr>
                <w:b/>
                <w:sz w:val="28"/>
                <w:szCs w:val="28"/>
              </w:rPr>
              <w:t>Reviewed as per the Risk Matrix</w:t>
            </w:r>
          </w:p>
          <w:p w:rsidR="00E54A08" w:rsidRPr="009149F1" w:rsidRDefault="00E54A08" w:rsidP="00DE4663">
            <w:pPr>
              <w:rPr>
                <w:b/>
                <w:sz w:val="28"/>
                <w:szCs w:val="28"/>
              </w:rPr>
            </w:pPr>
          </w:p>
        </w:tc>
        <w:tc>
          <w:tcPr>
            <w:tcW w:w="2111" w:type="dxa"/>
          </w:tcPr>
          <w:p w:rsidR="00E54A08" w:rsidRDefault="00E54A08" w:rsidP="00DE4663">
            <w:pPr>
              <w:rPr>
                <w:b/>
                <w:sz w:val="28"/>
                <w:szCs w:val="28"/>
              </w:rPr>
            </w:pPr>
          </w:p>
        </w:tc>
      </w:tr>
      <w:tr w:rsidR="00E54A08" w:rsidRPr="009149F1" w:rsidTr="00DE4663">
        <w:tc>
          <w:tcPr>
            <w:tcW w:w="930" w:type="dxa"/>
          </w:tcPr>
          <w:p w:rsidR="00E54A08" w:rsidRDefault="00E54A08" w:rsidP="00DE4663">
            <w:pPr>
              <w:rPr>
                <w:b/>
                <w:sz w:val="28"/>
                <w:szCs w:val="28"/>
              </w:rPr>
            </w:pPr>
          </w:p>
          <w:p w:rsidR="00E54A08" w:rsidRDefault="00E54A08" w:rsidP="00DE4663">
            <w:pPr>
              <w:rPr>
                <w:b/>
                <w:sz w:val="28"/>
                <w:szCs w:val="28"/>
              </w:rPr>
            </w:pPr>
          </w:p>
          <w:p w:rsidR="00E54A08" w:rsidRPr="009149F1" w:rsidRDefault="00E54A08" w:rsidP="00DE4663">
            <w:pPr>
              <w:rPr>
                <w:b/>
                <w:sz w:val="28"/>
                <w:szCs w:val="28"/>
              </w:rPr>
            </w:pPr>
          </w:p>
        </w:tc>
        <w:tc>
          <w:tcPr>
            <w:tcW w:w="2349" w:type="dxa"/>
          </w:tcPr>
          <w:p w:rsidR="00E54A08" w:rsidRPr="009149F1" w:rsidRDefault="00E54A08" w:rsidP="00DE4663">
            <w:pPr>
              <w:rPr>
                <w:b/>
                <w:sz w:val="28"/>
                <w:szCs w:val="28"/>
              </w:rPr>
            </w:pPr>
          </w:p>
        </w:tc>
        <w:tc>
          <w:tcPr>
            <w:tcW w:w="3717" w:type="dxa"/>
          </w:tcPr>
          <w:p w:rsidR="00E54A08" w:rsidRPr="009149F1" w:rsidRDefault="00E54A08" w:rsidP="00DE4663">
            <w:pPr>
              <w:rPr>
                <w:b/>
                <w:sz w:val="28"/>
                <w:szCs w:val="28"/>
              </w:rPr>
            </w:pPr>
          </w:p>
        </w:tc>
        <w:tc>
          <w:tcPr>
            <w:tcW w:w="2430" w:type="dxa"/>
          </w:tcPr>
          <w:p w:rsidR="00E54A08" w:rsidRPr="009149F1" w:rsidRDefault="00E54A08" w:rsidP="00DE4663">
            <w:pPr>
              <w:rPr>
                <w:b/>
                <w:sz w:val="28"/>
                <w:szCs w:val="28"/>
              </w:rPr>
            </w:pPr>
          </w:p>
        </w:tc>
        <w:tc>
          <w:tcPr>
            <w:tcW w:w="2411" w:type="dxa"/>
          </w:tcPr>
          <w:p w:rsidR="00E54A08" w:rsidRPr="009149F1" w:rsidRDefault="00E54A08" w:rsidP="00DE4663">
            <w:pPr>
              <w:rPr>
                <w:b/>
                <w:sz w:val="28"/>
                <w:szCs w:val="28"/>
              </w:rPr>
            </w:pPr>
          </w:p>
        </w:tc>
        <w:tc>
          <w:tcPr>
            <w:tcW w:w="2111" w:type="dxa"/>
          </w:tcPr>
          <w:p w:rsidR="00E54A08" w:rsidRPr="009149F1" w:rsidRDefault="00E54A08" w:rsidP="00DE4663">
            <w:pPr>
              <w:rPr>
                <w:b/>
                <w:sz w:val="28"/>
                <w:szCs w:val="28"/>
              </w:rPr>
            </w:pPr>
          </w:p>
        </w:tc>
      </w:tr>
      <w:tr w:rsidR="00E54A08" w:rsidRPr="009149F1" w:rsidTr="00DE4663">
        <w:tc>
          <w:tcPr>
            <w:tcW w:w="930" w:type="dxa"/>
          </w:tcPr>
          <w:p w:rsidR="00E54A08" w:rsidRDefault="00E54A08" w:rsidP="00DE4663">
            <w:pPr>
              <w:rPr>
                <w:b/>
                <w:sz w:val="28"/>
                <w:szCs w:val="28"/>
              </w:rPr>
            </w:pPr>
          </w:p>
          <w:p w:rsidR="00E54A08" w:rsidRDefault="00E54A08" w:rsidP="00DE4663">
            <w:pPr>
              <w:rPr>
                <w:b/>
                <w:sz w:val="28"/>
                <w:szCs w:val="28"/>
              </w:rPr>
            </w:pPr>
          </w:p>
          <w:p w:rsidR="00E54A08" w:rsidRDefault="00E54A08" w:rsidP="00DE4663">
            <w:pPr>
              <w:rPr>
                <w:b/>
                <w:sz w:val="28"/>
                <w:szCs w:val="28"/>
              </w:rPr>
            </w:pPr>
          </w:p>
          <w:p w:rsidR="00E54A08" w:rsidRPr="009149F1" w:rsidRDefault="00E54A08" w:rsidP="00DE4663">
            <w:pPr>
              <w:rPr>
                <w:b/>
                <w:sz w:val="28"/>
                <w:szCs w:val="28"/>
              </w:rPr>
            </w:pPr>
          </w:p>
        </w:tc>
        <w:tc>
          <w:tcPr>
            <w:tcW w:w="2349" w:type="dxa"/>
          </w:tcPr>
          <w:p w:rsidR="00E54A08" w:rsidRPr="009149F1" w:rsidRDefault="00E54A08" w:rsidP="00DE4663">
            <w:pPr>
              <w:rPr>
                <w:b/>
                <w:sz w:val="28"/>
                <w:szCs w:val="28"/>
              </w:rPr>
            </w:pPr>
          </w:p>
        </w:tc>
        <w:tc>
          <w:tcPr>
            <w:tcW w:w="3717" w:type="dxa"/>
          </w:tcPr>
          <w:p w:rsidR="00E54A08" w:rsidRPr="009149F1" w:rsidRDefault="00E54A08" w:rsidP="00DE4663">
            <w:pPr>
              <w:rPr>
                <w:b/>
                <w:sz w:val="28"/>
                <w:szCs w:val="28"/>
              </w:rPr>
            </w:pPr>
          </w:p>
        </w:tc>
        <w:tc>
          <w:tcPr>
            <w:tcW w:w="2430" w:type="dxa"/>
          </w:tcPr>
          <w:p w:rsidR="00E54A08" w:rsidRPr="009149F1" w:rsidRDefault="00E54A08" w:rsidP="00DE4663">
            <w:pPr>
              <w:rPr>
                <w:b/>
                <w:sz w:val="28"/>
                <w:szCs w:val="28"/>
              </w:rPr>
            </w:pPr>
          </w:p>
        </w:tc>
        <w:tc>
          <w:tcPr>
            <w:tcW w:w="2411" w:type="dxa"/>
          </w:tcPr>
          <w:p w:rsidR="00E54A08" w:rsidRPr="009149F1" w:rsidRDefault="00E54A08" w:rsidP="00DE4663">
            <w:pPr>
              <w:rPr>
                <w:b/>
                <w:sz w:val="28"/>
                <w:szCs w:val="28"/>
              </w:rPr>
            </w:pPr>
          </w:p>
        </w:tc>
        <w:tc>
          <w:tcPr>
            <w:tcW w:w="2111" w:type="dxa"/>
          </w:tcPr>
          <w:p w:rsidR="00E54A08" w:rsidRPr="009149F1" w:rsidRDefault="00E54A08" w:rsidP="00DE4663">
            <w:pPr>
              <w:rPr>
                <w:b/>
                <w:sz w:val="28"/>
                <w:szCs w:val="28"/>
              </w:rPr>
            </w:pPr>
          </w:p>
        </w:tc>
      </w:tr>
      <w:tr w:rsidR="00E54A08" w:rsidRPr="009149F1" w:rsidTr="00DE4663">
        <w:tc>
          <w:tcPr>
            <w:tcW w:w="930" w:type="dxa"/>
          </w:tcPr>
          <w:p w:rsidR="00E54A08" w:rsidRDefault="00E54A08" w:rsidP="00DE4663">
            <w:pPr>
              <w:rPr>
                <w:b/>
                <w:sz w:val="28"/>
                <w:szCs w:val="28"/>
              </w:rPr>
            </w:pPr>
          </w:p>
        </w:tc>
        <w:tc>
          <w:tcPr>
            <w:tcW w:w="2349" w:type="dxa"/>
          </w:tcPr>
          <w:p w:rsidR="00E54A08" w:rsidRDefault="00E54A08" w:rsidP="00DE4663">
            <w:pPr>
              <w:rPr>
                <w:b/>
                <w:sz w:val="28"/>
                <w:szCs w:val="28"/>
              </w:rPr>
            </w:pPr>
          </w:p>
          <w:p w:rsidR="00E54A08" w:rsidRDefault="00E54A08" w:rsidP="00DE4663">
            <w:pPr>
              <w:rPr>
                <w:b/>
                <w:sz w:val="28"/>
                <w:szCs w:val="28"/>
              </w:rPr>
            </w:pPr>
          </w:p>
          <w:p w:rsidR="00E54A08" w:rsidRPr="009149F1" w:rsidRDefault="00E54A08" w:rsidP="00DE4663">
            <w:pPr>
              <w:rPr>
                <w:b/>
                <w:sz w:val="28"/>
                <w:szCs w:val="28"/>
              </w:rPr>
            </w:pPr>
          </w:p>
        </w:tc>
        <w:tc>
          <w:tcPr>
            <w:tcW w:w="3717" w:type="dxa"/>
          </w:tcPr>
          <w:p w:rsidR="00E54A08" w:rsidRPr="009149F1" w:rsidRDefault="00E54A08" w:rsidP="00DE4663">
            <w:pPr>
              <w:rPr>
                <w:b/>
                <w:sz w:val="28"/>
                <w:szCs w:val="28"/>
              </w:rPr>
            </w:pPr>
          </w:p>
        </w:tc>
        <w:tc>
          <w:tcPr>
            <w:tcW w:w="2430" w:type="dxa"/>
          </w:tcPr>
          <w:p w:rsidR="00E54A08" w:rsidRPr="009149F1" w:rsidRDefault="00E54A08" w:rsidP="00DE4663">
            <w:pPr>
              <w:rPr>
                <w:b/>
                <w:sz w:val="28"/>
                <w:szCs w:val="28"/>
              </w:rPr>
            </w:pPr>
          </w:p>
        </w:tc>
        <w:tc>
          <w:tcPr>
            <w:tcW w:w="2411" w:type="dxa"/>
          </w:tcPr>
          <w:p w:rsidR="00E54A08" w:rsidRPr="009149F1" w:rsidRDefault="00E54A08" w:rsidP="00DE4663">
            <w:pPr>
              <w:rPr>
                <w:b/>
                <w:sz w:val="28"/>
                <w:szCs w:val="28"/>
              </w:rPr>
            </w:pPr>
          </w:p>
        </w:tc>
        <w:tc>
          <w:tcPr>
            <w:tcW w:w="2111" w:type="dxa"/>
          </w:tcPr>
          <w:p w:rsidR="00E54A08" w:rsidRPr="009149F1" w:rsidRDefault="00E54A08" w:rsidP="00DE4663">
            <w:pPr>
              <w:rPr>
                <w:b/>
                <w:sz w:val="28"/>
                <w:szCs w:val="28"/>
              </w:rPr>
            </w:pPr>
          </w:p>
        </w:tc>
      </w:tr>
      <w:tr w:rsidR="00E54A08" w:rsidRPr="009149F1" w:rsidTr="00DE4663">
        <w:tc>
          <w:tcPr>
            <w:tcW w:w="930" w:type="dxa"/>
          </w:tcPr>
          <w:p w:rsidR="00E54A08" w:rsidRDefault="00E54A08" w:rsidP="00DE4663">
            <w:pPr>
              <w:rPr>
                <w:b/>
                <w:sz w:val="28"/>
                <w:szCs w:val="28"/>
              </w:rPr>
            </w:pPr>
          </w:p>
        </w:tc>
        <w:tc>
          <w:tcPr>
            <w:tcW w:w="2349" w:type="dxa"/>
          </w:tcPr>
          <w:p w:rsidR="00E54A08" w:rsidRDefault="00E54A08" w:rsidP="00DE4663">
            <w:pPr>
              <w:rPr>
                <w:b/>
                <w:sz w:val="28"/>
                <w:szCs w:val="28"/>
              </w:rPr>
            </w:pPr>
          </w:p>
          <w:p w:rsidR="00E54A08" w:rsidRDefault="00E54A08" w:rsidP="00DE4663">
            <w:pPr>
              <w:rPr>
                <w:b/>
                <w:sz w:val="28"/>
                <w:szCs w:val="28"/>
              </w:rPr>
            </w:pPr>
          </w:p>
          <w:p w:rsidR="00E54A08" w:rsidRPr="009149F1" w:rsidRDefault="00E54A08" w:rsidP="00DE4663">
            <w:pPr>
              <w:rPr>
                <w:b/>
                <w:sz w:val="28"/>
                <w:szCs w:val="28"/>
              </w:rPr>
            </w:pPr>
          </w:p>
        </w:tc>
        <w:tc>
          <w:tcPr>
            <w:tcW w:w="3717" w:type="dxa"/>
          </w:tcPr>
          <w:p w:rsidR="00E54A08" w:rsidRPr="009149F1" w:rsidRDefault="00E54A08" w:rsidP="00DE4663">
            <w:pPr>
              <w:rPr>
                <w:b/>
                <w:sz w:val="28"/>
                <w:szCs w:val="28"/>
              </w:rPr>
            </w:pPr>
          </w:p>
        </w:tc>
        <w:tc>
          <w:tcPr>
            <w:tcW w:w="2430" w:type="dxa"/>
          </w:tcPr>
          <w:p w:rsidR="00E54A08" w:rsidRPr="009149F1" w:rsidRDefault="00E54A08" w:rsidP="00DE4663">
            <w:pPr>
              <w:rPr>
                <w:b/>
                <w:sz w:val="28"/>
                <w:szCs w:val="28"/>
              </w:rPr>
            </w:pPr>
          </w:p>
        </w:tc>
        <w:tc>
          <w:tcPr>
            <w:tcW w:w="2411" w:type="dxa"/>
          </w:tcPr>
          <w:p w:rsidR="00E54A08" w:rsidRPr="009149F1" w:rsidRDefault="00E54A08" w:rsidP="00DE4663">
            <w:pPr>
              <w:rPr>
                <w:b/>
                <w:sz w:val="28"/>
                <w:szCs w:val="28"/>
              </w:rPr>
            </w:pPr>
          </w:p>
        </w:tc>
        <w:tc>
          <w:tcPr>
            <w:tcW w:w="2111" w:type="dxa"/>
          </w:tcPr>
          <w:p w:rsidR="00E54A08" w:rsidRPr="009149F1" w:rsidRDefault="00E54A08" w:rsidP="00DE4663">
            <w:pPr>
              <w:rPr>
                <w:b/>
                <w:sz w:val="28"/>
                <w:szCs w:val="28"/>
              </w:rPr>
            </w:pPr>
          </w:p>
        </w:tc>
      </w:tr>
      <w:tr w:rsidR="00E54A08" w:rsidRPr="009149F1" w:rsidTr="00DE4663">
        <w:tc>
          <w:tcPr>
            <w:tcW w:w="930" w:type="dxa"/>
          </w:tcPr>
          <w:p w:rsidR="00E54A08" w:rsidRDefault="00E54A08" w:rsidP="00DE4663">
            <w:pPr>
              <w:rPr>
                <w:b/>
                <w:sz w:val="28"/>
                <w:szCs w:val="28"/>
              </w:rPr>
            </w:pPr>
          </w:p>
        </w:tc>
        <w:tc>
          <w:tcPr>
            <w:tcW w:w="2349" w:type="dxa"/>
          </w:tcPr>
          <w:p w:rsidR="00E54A08" w:rsidRDefault="00E54A08" w:rsidP="00DE4663">
            <w:pPr>
              <w:rPr>
                <w:b/>
                <w:sz w:val="28"/>
                <w:szCs w:val="28"/>
              </w:rPr>
            </w:pPr>
          </w:p>
          <w:p w:rsidR="00E54A08" w:rsidRDefault="00E54A08" w:rsidP="00DE4663">
            <w:pPr>
              <w:rPr>
                <w:b/>
                <w:sz w:val="28"/>
                <w:szCs w:val="28"/>
              </w:rPr>
            </w:pPr>
          </w:p>
          <w:p w:rsidR="00E54A08" w:rsidRPr="009149F1" w:rsidRDefault="00E54A08" w:rsidP="00DE4663">
            <w:pPr>
              <w:rPr>
                <w:b/>
                <w:sz w:val="28"/>
                <w:szCs w:val="28"/>
              </w:rPr>
            </w:pPr>
          </w:p>
        </w:tc>
        <w:tc>
          <w:tcPr>
            <w:tcW w:w="3717" w:type="dxa"/>
          </w:tcPr>
          <w:p w:rsidR="00E54A08" w:rsidRPr="009149F1" w:rsidRDefault="00E54A08" w:rsidP="00DE4663">
            <w:pPr>
              <w:rPr>
                <w:b/>
                <w:sz w:val="28"/>
                <w:szCs w:val="28"/>
              </w:rPr>
            </w:pPr>
          </w:p>
        </w:tc>
        <w:tc>
          <w:tcPr>
            <w:tcW w:w="2430" w:type="dxa"/>
          </w:tcPr>
          <w:p w:rsidR="00E54A08" w:rsidRPr="009149F1" w:rsidRDefault="00E54A08" w:rsidP="00DE4663">
            <w:pPr>
              <w:rPr>
                <w:b/>
                <w:sz w:val="28"/>
                <w:szCs w:val="28"/>
              </w:rPr>
            </w:pPr>
          </w:p>
        </w:tc>
        <w:tc>
          <w:tcPr>
            <w:tcW w:w="2411" w:type="dxa"/>
          </w:tcPr>
          <w:p w:rsidR="00E54A08" w:rsidRPr="009149F1" w:rsidRDefault="00E54A08" w:rsidP="00DE4663">
            <w:pPr>
              <w:rPr>
                <w:b/>
                <w:sz w:val="28"/>
                <w:szCs w:val="28"/>
              </w:rPr>
            </w:pPr>
          </w:p>
        </w:tc>
        <w:tc>
          <w:tcPr>
            <w:tcW w:w="2111" w:type="dxa"/>
          </w:tcPr>
          <w:p w:rsidR="00E54A08" w:rsidRPr="009149F1" w:rsidRDefault="00E54A08" w:rsidP="00DE4663">
            <w:pPr>
              <w:rPr>
                <w:b/>
                <w:sz w:val="28"/>
                <w:szCs w:val="28"/>
              </w:rPr>
            </w:pPr>
          </w:p>
        </w:tc>
      </w:tr>
      <w:tr w:rsidR="00E54A08" w:rsidRPr="009149F1" w:rsidTr="00DE4663">
        <w:tc>
          <w:tcPr>
            <w:tcW w:w="930" w:type="dxa"/>
          </w:tcPr>
          <w:p w:rsidR="00E54A08" w:rsidRDefault="00E54A08" w:rsidP="00DE4663">
            <w:pPr>
              <w:rPr>
                <w:b/>
                <w:sz w:val="28"/>
                <w:szCs w:val="28"/>
              </w:rPr>
            </w:pPr>
          </w:p>
        </w:tc>
        <w:tc>
          <w:tcPr>
            <w:tcW w:w="2349" w:type="dxa"/>
          </w:tcPr>
          <w:p w:rsidR="00E54A08" w:rsidRDefault="00E54A08" w:rsidP="00DE4663">
            <w:pPr>
              <w:rPr>
                <w:b/>
                <w:sz w:val="28"/>
                <w:szCs w:val="28"/>
              </w:rPr>
            </w:pPr>
          </w:p>
          <w:p w:rsidR="00E54A08" w:rsidRDefault="00E54A08" w:rsidP="00DE4663">
            <w:pPr>
              <w:rPr>
                <w:b/>
                <w:sz w:val="28"/>
                <w:szCs w:val="28"/>
              </w:rPr>
            </w:pPr>
          </w:p>
          <w:p w:rsidR="00E54A08" w:rsidRPr="009149F1" w:rsidRDefault="00E54A08" w:rsidP="00DE4663">
            <w:pPr>
              <w:rPr>
                <w:b/>
                <w:sz w:val="28"/>
                <w:szCs w:val="28"/>
              </w:rPr>
            </w:pPr>
          </w:p>
        </w:tc>
        <w:tc>
          <w:tcPr>
            <w:tcW w:w="3717" w:type="dxa"/>
          </w:tcPr>
          <w:p w:rsidR="00E54A08" w:rsidRPr="009149F1" w:rsidRDefault="00E54A08" w:rsidP="00DE4663">
            <w:pPr>
              <w:rPr>
                <w:b/>
                <w:sz w:val="28"/>
                <w:szCs w:val="28"/>
              </w:rPr>
            </w:pPr>
          </w:p>
        </w:tc>
        <w:tc>
          <w:tcPr>
            <w:tcW w:w="2430" w:type="dxa"/>
          </w:tcPr>
          <w:p w:rsidR="00E54A08" w:rsidRPr="009149F1" w:rsidRDefault="00E54A08" w:rsidP="00DE4663">
            <w:pPr>
              <w:rPr>
                <w:b/>
                <w:sz w:val="28"/>
                <w:szCs w:val="28"/>
              </w:rPr>
            </w:pPr>
          </w:p>
        </w:tc>
        <w:tc>
          <w:tcPr>
            <w:tcW w:w="2411" w:type="dxa"/>
          </w:tcPr>
          <w:p w:rsidR="00E54A08" w:rsidRPr="009149F1" w:rsidRDefault="00E54A08" w:rsidP="00DE4663">
            <w:pPr>
              <w:rPr>
                <w:b/>
                <w:sz w:val="28"/>
                <w:szCs w:val="28"/>
              </w:rPr>
            </w:pPr>
          </w:p>
        </w:tc>
        <w:tc>
          <w:tcPr>
            <w:tcW w:w="2111" w:type="dxa"/>
          </w:tcPr>
          <w:p w:rsidR="00E54A08" w:rsidRPr="009149F1" w:rsidRDefault="00E54A08" w:rsidP="00DE4663">
            <w:pPr>
              <w:rPr>
                <w:b/>
                <w:sz w:val="28"/>
                <w:szCs w:val="28"/>
              </w:rPr>
            </w:pPr>
          </w:p>
        </w:tc>
      </w:tr>
      <w:tr w:rsidR="00E54A08" w:rsidRPr="009149F1" w:rsidTr="00DE4663">
        <w:tc>
          <w:tcPr>
            <w:tcW w:w="930" w:type="dxa"/>
          </w:tcPr>
          <w:p w:rsidR="00E54A08" w:rsidRDefault="00E54A08" w:rsidP="00DE4663">
            <w:pPr>
              <w:rPr>
                <w:b/>
                <w:sz w:val="28"/>
                <w:szCs w:val="28"/>
              </w:rPr>
            </w:pPr>
          </w:p>
        </w:tc>
        <w:tc>
          <w:tcPr>
            <w:tcW w:w="2349" w:type="dxa"/>
          </w:tcPr>
          <w:p w:rsidR="00E54A08" w:rsidRDefault="00E54A08" w:rsidP="00DE4663">
            <w:pPr>
              <w:rPr>
                <w:b/>
                <w:sz w:val="28"/>
                <w:szCs w:val="28"/>
              </w:rPr>
            </w:pPr>
          </w:p>
          <w:p w:rsidR="00E54A08" w:rsidRDefault="00E54A08" w:rsidP="00DE4663">
            <w:pPr>
              <w:rPr>
                <w:b/>
                <w:sz w:val="28"/>
                <w:szCs w:val="28"/>
              </w:rPr>
            </w:pPr>
          </w:p>
          <w:p w:rsidR="00E54A08" w:rsidRPr="009149F1" w:rsidRDefault="00E54A08" w:rsidP="00DE4663">
            <w:pPr>
              <w:rPr>
                <w:b/>
                <w:sz w:val="28"/>
                <w:szCs w:val="28"/>
              </w:rPr>
            </w:pPr>
          </w:p>
        </w:tc>
        <w:tc>
          <w:tcPr>
            <w:tcW w:w="3717" w:type="dxa"/>
          </w:tcPr>
          <w:p w:rsidR="00E54A08" w:rsidRPr="009149F1" w:rsidRDefault="00E54A08" w:rsidP="00DE4663">
            <w:pPr>
              <w:rPr>
                <w:b/>
                <w:sz w:val="28"/>
                <w:szCs w:val="28"/>
              </w:rPr>
            </w:pPr>
          </w:p>
        </w:tc>
        <w:tc>
          <w:tcPr>
            <w:tcW w:w="2430" w:type="dxa"/>
          </w:tcPr>
          <w:p w:rsidR="00E54A08" w:rsidRPr="009149F1" w:rsidRDefault="00E54A08" w:rsidP="00DE4663">
            <w:pPr>
              <w:rPr>
                <w:b/>
                <w:sz w:val="28"/>
                <w:szCs w:val="28"/>
              </w:rPr>
            </w:pPr>
          </w:p>
        </w:tc>
        <w:tc>
          <w:tcPr>
            <w:tcW w:w="2411" w:type="dxa"/>
          </w:tcPr>
          <w:p w:rsidR="00E54A08" w:rsidRPr="009149F1" w:rsidRDefault="00E54A08" w:rsidP="00DE4663">
            <w:pPr>
              <w:rPr>
                <w:b/>
                <w:sz w:val="28"/>
                <w:szCs w:val="28"/>
              </w:rPr>
            </w:pPr>
          </w:p>
        </w:tc>
        <w:tc>
          <w:tcPr>
            <w:tcW w:w="2111" w:type="dxa"/>
          </w:tcPr>
          <w:p w:rsidR="00E54A08" w:rsidRPr="009149F1" w:rsidRDefault="00E54A08" w:rsidP="00DE4663">
            <w:pPr>
              <w:rPr>
                <w:b/>
                <w:sz w:val="28"/>
                <w:szCs w:val="28"/>
              </w:rPr>
            </w:pPr>
          </w:p>
        </w:tc>
      </w:tr>
      <w:tr w:rsidR="00E54A08" w:rsidRPr="009149F1" w:rsidTr="00DE4663">
        <w:tc>
          <w:tcPr>
            <w:tcW w:w="930" w:type="dxa"/>
          </w:tcPr>
          <w:p w:rsidR="00E54A08" w:rsidRDefault="00E54A08" w:rsidP="00DE4663">
            <w:pPr>
              <w:rPr>
                <w:b/>
                <w:sz w:val="28"/>
                <w:szCs w:val="28"/>
              </w:rPr>
            </w:pPr>
          </w:p>
        </w:tc>
        <w:tc>
          <w:tcPr>
            <w:tcW w:w="2349" w:type="dxa"/>
          </w:tcPr>
          <w:p w:rsidR="00E54A08" w:rsidRDefault="00E54A08" w:rsidP="00DE4663">
            <w:pPr>
              <w:rPr>
                <w:b/>
                <w:sz w:val="28"/>
                <w:szCs w:val="28"/>
              </w:rPr>
            </w:pPr>
          </w:p>
          <w:p w:rsidR="00E54A08" w:rsidRDefault="00E54A08" w:rsidP="00DE4663">
            <w:pPr>
              <w:rPr>
                <w:b/>
                <w:sz w:val="28"/>
                <w:szCs w:val="28"/>
              </w:rPr>
            </w:pPr>
          </w:p>
          <w:p w:rsidR="00E54A08" w:rsidRPr="009149F1" w:rsidRDefault="00E54A08" w:rsidP="00DE4663">
            <w:pPr>
              <w:rPr>
                <w:b/>
                <w:sz w:val="28"/>
                <w:szCs w:val="28"/>
              </w:rPr>
            </w:pPr>
          </w:p>
        </w:tc>
        <w:tc>
          <w:tcPr>
            <w:tcW w:w="3717" w:type="dxa"/>
          </w:tcPr>
          <w:p w:rsidR="00E54A08" w:rsidRPr="009149F1" w:rsidRDefault="00E54A08" w:rsidP="00DE4663">
            <w:pPr>
              <w:rPr>
                <w:b/>
                <w:sz w:val="28"/>
                <w:szCs w:val="28"/>
              </w:rPr>
            </w:pPr>
          </w:p>
        </w:tc>
        <w:tc>
          <w:tcPr>
            <w:tcW w:w="2430" w:type="dxa"/>
          </w:tcPr>
          <w:p w:rsidR="00E54A08" w:rsidRPr="009149F1" w:rsidRDefault="00E54A08" w:rsidP="00DE4663">
            <w:pPr>
              <w:rPr>
                <w:b/>
                <w:sz w:val="28"/>
                <w:szCs w:val="28"/>
              </w:rPr>
            </w:pPr>
          </w:p>
        </w:tc>
        <w:tc>
          <w:tcPr>
            <w:tcW w:w="2411" w:type="dxa"/>
          </w:tcPr>
          <w:p w:rsidR="00E54A08" w:rsidRPr="009149F1" w:rsidRDefault="00E54A08" w:rsidP="00DE4663">
            <w:pPr>
              <w:rPr>
                <w:b/>
                <w:sz w:val="28"/>
                <w:szCs w:val="28"/>
              </w:rPr>
            </w:pPr>
          </w:p>
        </w:tc>
        <w:tc>
          <w:tcPr>
            <w:tcW w:w="2111" w:type="dxa"/>
          </w:tcPr>
          <w:p w:rsidR="00E54A08" w:rsidRPr="009149F1" w:rsidRDefault="00E54A08" w:rsidP="00DE4663">
            <w:pPr>
              <w:rPr>
                <w:b/>
                <w:sz w:val="28"/>
                <w:szCs w:val="28"/>
              </w:rPr>
            </w:pPr>
          </w:p>
        </w:tc>
      </w:tr>
    </w:tbl>
    <w:p w:rsidR="00E54A08" w:rsidRPr="009149F1" w:rsidRDefault="00E54A08" w:rsidP="00E54A08">
      <w:pPr>
        <w:rPr>
          <w:b/>
          <w:sz w:val="28"/>
          <w:szCs w:val="28"/>
        </w:rPr>
      </w:pPr>
    </w:p>
    <w:p w:rsidR="00E54A08" w:rsidRDefault="00E54A08" w:rsidP="004E2236">
      <w:pPr>
        <w:spacing w:after="0"/>
      </w:pPr>
    </w:p>
    <w:p w:rsidR="00E54A08" w:rsidRDefault="00E54A08" w:rsidP="004E2236">
      <w:pPr>
        <w:spacing w:after="0"/>
      </w:pPr>
    </w:p>
    <w:p w:rsidR="00E54A08" w:rsidRDefault="00E54A08" w:rsidP="004E2236">
      <w:pPr>
        <w:spacing w:after="0"/>
      </w:pPr>
    </w:p>
    <w:p w:rsidR="00E54A08" w:rsidRDefault="00E54A08" w:rsidP="004E2236">
      <w:pPr>
        <w:spacing w:after="0"/>
      </w:pPr>
    </w:p>
    <w:sectPr w:rsidR="00E54A08" w:rsidSect="00E54A08">
      <w:pgSz w:w="16838" w:h="11906" w:orient="landscape"/>
      <w:pgMar w:top="1440" w:right="1440" w:bottom="1440" w:left="1440" w:header="709" w:footer="709" w:gutter="0"/>
      <w:pgBorders w:offsetFrom="page">
        <w:top w:val="single" w:sz="18" w:space="24" w:color="FFD966"/>
        <w:left w:val="single" w:sz="18" w:space="24" w:color="FFD966"/>
        <w:bottom w:val="single" w:sz="18" w:space="24" w:color="FFD966"/>
        <w:right w:val="single" w:sz="18" w:space="24" w:color="FFD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527" w:rsidRDefault="00E05527" w:rsidP="00F33EE9">
      <w:pPr>
        <w:spacing w:after="0" w:line="240" w:lineRule="auto"/>
      </w:pPr>
      <w:r>
        <w:separator/>
      </w:r>
    </w:p>
  </w:endnote>
  <w:endnote w:type="continuationSeparator" w:id="0">
    <w:p w:rsidR="00E05527" w:rsidRDefault="00E05527" w:rsidP="00F3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095069"/>
      <w:docPartObj>
        <w:docPartGallery w:val="Page Numbers (Bottom of Page)"/>
        <w:docPartUnique/>
      </w:docPartObj>
    </w:sdtPr>
    <w:sdtEndPr>
      <w:rPr>
        <w:noProof/>
      </w:rPr>
    </w:sdtEndPr>
    <w:sdtContent>
      <w:p w:rsidR="00F33EE9" w:rsidRDefault="00F33EE9">
        <w:pPr>
          <w:pStyle w:val="Footer"/>
          <w:jc w:val="right"/>
        </w:pPr>
        <w:r>
          <w:fldChar w:fldCharType="begin"/>
        </w:r>
        <w:r>
          <w:instrText xml:space="preserve"> PAGE   \* MERGEFORMAT </w:instrText>
        </w:r>
        <w:r>
          <w:fldChar w:fldCharType="separate"/>
        </w:r>
        <w:r w:rsidR="00966306">
          <w:rPr>
            <w:noProof/>
          </w:rPr>
          <w:t>10</w:t>
        </w:r>
        <w:r>
          <w:rPr>
            <w:noProof/>
          </w:rPr>
          <w:fldChar w:fldCharType="end"/>
        </w:r>
      </w:p>
    </w:sdtContent>
  </w:sdt>
  <w:p w:rsidR="00F33EE9" w:rsidRDefault="00F33EE9">
    <w:pPr>
      <w:pStyle w:val="Footer"/>
    </w:pPr>
    <w:r>
      <w:rPr>
        <w:rFonts w:cstheme="minorHAnsi"/>
      </w:rPr>
      <w:t>©</w:t>
    </w:r>
    <w:r>
      <w:t>NISQltdallrightsreserved                                      Reviewed March 201</w:t>
    </w:r>
    <w:r w:rsidR="00745755">
      <w:t>8</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527" w:rsidRDefault="00E05527" w:rsidP="00F33EE9">
      <w:pPr>
        <w:spacing w:after="0" w:line="240" w:lineRule="auto"/>
      </w:pPr>
      <w:r>
        <w:separator/>
      </w:r>
    </w:p>
  </w:footnote>
  <w:footnote w:type="continuationSeparator" w:id="0">
    <w:p w:rsidR="00E05527" w:rsidRDefault="00E05527" w:rsidP="00F33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755" w:rsidRDefault="00745755" w:rsidP="00745755">
    <w:pPr>
      <w:pStyle w:val="Header"/>
      <w:jc w:val="center"/>
      <w:rPr>
        <w:b/>
        <w:color w:val="4472C4" w:themeColor="accent1"/>
      </w:rPr>
    </w:pPr>
  </w:p>
  <w:p w:rsidR="00F33EE9" w:rsidRDefault="00F33EE9" w:rsidP="00F33EE9">
    <w:pPr>
      <w:pStyle w:val="Header"/>
      <w:jc w:val="center"/>
    </w:pPr>
    <w:r>
      <w:t>NISQ D10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2ED"/>
    <w:multiLevelType w:val="hybridMultilevel"/>
    <w:tmpl w:val="C6AC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F2BF3"/>
    <w:multiLevelType w:val="hybridMultilevel"/>
    <w:tmpl w:val="6A6E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47F77"/>
    <w:multiLevelType w:val="hybridMultilevel"/>
    <w:tmpl w:val="7F00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85DC9"/>
    <w:multiLevelType w:val="hybridMultilevel"/>
    <w:tmpl w:val="645E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3726A"/>
    <w:multiLevelType w:val="hybridMultilevel"/>
    <w:tmpl w:val="1D9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9111C"/>
    <w:multiLevelType w:val="hybridMultilevel"/>
    <w:tmpl w:val="4192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330D3"/>
    <w:multiLevelType w:val="hybridMultilevel"/>
    <w:tmpl w:val="B44E8E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70902A6"/>
    <w:multiLevelType w:val="hybridMultilevel"/>
    <w:tmpl w:val="9D6A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C22FF"/>
    <w:multiLevelType w:val="hybridMultilevel"/>
    <w:tmpl w:val="A23C6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80D75"/>
    <w:multiLevelType w:val="hybridMultilevel"/>
    <w:tmpl w:val="CC80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57611"/>
    <w:multiLevelType w:val="hybridMultilevel"/>
    <w:tmpl w:val="5516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E6D30"/>
    <w:multiLevelType w:val="hybridMultilevel"/>
    <w:tmpl w:val="310A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5726E"/>
    <w:multiLevelType w:val="hybridMultilevel"/>
    <w:tmpl w:val="7D74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166AF"/>
    <w:multiLevelType w:val="hybridMultilevel"/>
    <w:tmpl w:val="2A7C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2"/>
  </w:num>
  <w:num w:numId="6">
    <w:abstractNumId w:val="1"/>
  </w:num>
  <w:num w:numId="7">
    <w:abstractNumId w:val="8"/>
  </w:num>
  <w:num w:numId="8">
    <w:abstractNumId w:val="7"/>
  </w:num>
  <w:num w:numId="9">
    <w:abstractNumId w:val="11"/>
  </w:num>
  <w:num w:numId="10">
    <w:abstractNumId w:val="9"/>
  </w:num>
  <w:num w:numId="11">
    <w:abstractNumId w:val="5"/>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CD"/>
    <w:rsid w:val="0002362B"/>
    <w:rsid w:val="000A093C"/>
    <w:rsid w:val="001E2D71"/>
    <w:rsid w:val="00216816"/>
    <w:rsid w:val="002E36DB"/>
    <w:rsid w:val="0033709F"/>
    <w:rsid w:val="003B2925"/>
    <w:rsid w:val="003B712F"/>
    <w:rsid w:val="00430F97"/>
    <w:rsid w:val="00460E35"/>
    <w:rsid w:val="004E2236"/>
    <w:rsid w:val="005515EC"/>
    <w:rsid w:val="005C01DD"/>
    <w:rsid w:val="005F3B99"/>
    <w:rsid w:val="00745755"/>
    <w:rsid w:val="0079572B"/>
    <w:rsid w:val="008931C3"/>
    <w:rsid w:val="008E12CD"/>
    <w:rsid w:val="00901782"/>
    <w:rsid w:val="00936A89"/>
    <w:rsid w:val="00942987"/>
    <w:rsid w:val="00962159"/>
    <w:rsid w:val="00966306"/>
    <w:rsid w:val="009A31CF"/>
    <w:rsid w:val="00A2049D"/>
    <w:rsid w:val="00A27305"/>
    <w:rsid w:val="00AE1033"/>
    <w:rsid w:val="00B52BE9"/>
    <w:rsid w:val="00C1666A"/>
    <w:rsid w:val="00C23F36"/>
    <w:rsid w:val="00C82C49"/>
    <w:rsid w:val="00C86E6E"/>
    <w:rsid w:val="00D1596E"/>
    <w:rsid w:val="00DE69ED"/>
    <w:rsid w:val="00E05527"/>
    <w:rsid w:val="00E54A08"/>
    <w:rsid w:val="00F33EE9"/>
    <w:rsid w:val="00F8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C88"/>
  <w15:chartTrackingRefBased/>
  <w15:docId w15:val="{CFE125CD-EA82-414B-B35E-00C26C22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2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2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CD"/>
    <w:pPr>
      <w:ind w:left="720"/>
      <w:contextualSpacing/>
    </w:pPr>
  </w:style>
  <w:style w:type="character" w:customStyle="1" w:styleId="Heading1Char">
    <w:name w:val="Heading 1 Char"/>
    <w:basedOn w:val="DefaultParagraphFont"/>
    <w:link w:val="Heading1"/>
    <w:uiPriority w:val="9"/>
    <w:rsid w:val="004E22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223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33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EE9"/>
  </w:style>
  <w:style w:type="paragraph" w:styleId="Footer">
    <w:name w:val="footer"/>
    <w:basedOn w:val="Normal"/>
    <w:link w:val="FooterChar"/>
    <w:uiPriority w:val="99"/>
    <w:unhideWhenUsed/>
    <w:rsid w:val="00F33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EE9"/>
  </w:style>
  <w:style w:type="table" w:styleId="TableGrid">
    <w:name w:val="Table Grid"/>
    <w:basedOn w:val="TableNormal"/>
    <w:uiPriority w:val="39"/>
    <w:rsid w:val="00E5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5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1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2018-10-29T19:18:00Z</dcterms:created>
  <dcterms:modified xsi:type="dcterms:W3CDTF">2018-10-29T19:18:00Z</dcterms:modified>
</cp:coreProperties>
</file>