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1B36" w14:textId="77777777" w:rsidR="00200330" w:rsidRDefault="00200330" w:rsidP="00200330">
      <w:pPr>
        <w:jc w:val="center"/>
      </w:pPr>
      <w:r>
        <w:rPr>
          <w:rFonts w:ascii="Calibri" w:eastAsia="Calibri" w:hAnsi="Calibri" w:cs="Times New Roman"/>
          <w:noProof/>
        </w:rPr>
        <w:drawing>
          <wp:inline distT="0" distB="0" distL="0" distR="0" wp14:anchorId="70193190" wp14:editId="118F41F9">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11E5D9A3" w14:textId="77777777" w:rsidR="00E72894" w:rsidRDefault="00E72894" w:rsidP="00200330">
      <w:pPr>
        <w:jc w:val="center"/>
      </w:pPr>
      <w:r w:rsidRPr="00CF7622">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3FE2AD39" wp14:editId="761C2D49">
                <wp:simplePos x="0" y="0"/>
                <wp:positionH relativeFrom="margin">
                  <wp:posOffset>0</wp:posOffset>
                </wp:positionH>
                <wp:positionV relativeFrom="paragraph">
                  <wp:posOffset>331470</wp:posOffset>
                </wp:positionV>
                <wp:extent cx="5722620" cy="410845"/>
                <wp:effectExtent l="0" t="0" r="1143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10845"/>
                        </a:xfrm>
                        <a:prstGeom prst="rect">
                          <a:avLst/>
                        </a:prstGeom>
                        <a:solidFill>
                          <a:schemeClr val="accent4">
                            <a:lumMod val="60000"/>
                            <a:lumOff val="40000"/>
                          </a:schemeClr>
                        </a:solidFill>
                        <a:ln w="9525">
                          <a:solidFill>
                            <a:srgbClr val="000000"/>
                          </a:solidFill>
                          <a:miter lim="800000"/>
                          <a:headEnd/>
                          <a:tailEnd/>
                        </a:ln>
                      </wps:spPr>
                      <wps:txbx>
                        <w:txbxContent>
                          <w:p w14:paraId="1354B117" w14:textId="77777777" w:rsidR="00E72894" w:rsidRDefault="00D65423" w:rsidP="00E72894">
                            <w:pPr>
                              <w:jc w:val="center"/>
                              <w:rPr>
                                <w:b/>
                                <w:sz w:val="36"/>
                                <w:szCs w:val="36"/>
                              </w:rPr>
                            </w:pPr>
                            <w:r>
                              <w:rPr>
                                <w:b/>
                                <w:sz w:val="36"/>
                                <w:szCs w:val="36"/>
                              </w:rPr>
                              <w:t>N.I. Security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2AD39" id="_x0000_t202" coordsize="21600,21600" o:spt="202" path="m,l,21600r21600,l21600,xe">
                <v:stroke joinstyle="miter"/>
                <v:path gradientshapeok="t" o:connecttype="rect"/>
              </v:shapetype>
              <v:shape id="Text Box 2" o:spid="_x0000_s1026" type="#_x0000_t202" style="position:absolute;left:0;text-align:left;margin-left:0;margin-top:26.1pt;width:450.6pt;height:3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" fillcolor="#ffd966 [1943]">
                <v:textbox>
                  <w:txbxContent>
                    <w:p w14:paraId="1354B117" w14:textId="77777777" w:rsidR="00E72894" w:rsidRDefault="00D65423" w:rsidP="00E72894">
                      <w:pPr>
                        <w:jc w:val="center"/>
                        <w:rPr>
                          <w:b/>
                          <w:sz w:val="36"/>
                          <w:szCs w:val="36"/>
                        </w:rPr>
                      </w:pPr>
                      <w:r>
                        <w:rPr>
                          <w:b/>
                          <w:sz w:val="36"/>
                          <w:szCs w:val="36"/>
                        </w:rPr>
                        <w:t>N.I. Security Qualifications</w:t>
                      </w:r>
                    </w:p>
                  </w:txbxContent>
                </v:textbox>
                <w10:wrap type="square" anchorx="margin"/>
              </v:shape>
            </w:pict>
          </mc:Fallback>
        </mc:AlternateContent>
      </w:r>
    </w:p>
    <w:p w14:paraId="39DAEEB9" w14:textId="77777777" w:rsidR="00DD52A4" w:rsidRDefault="00DD52A4" w:rsidP="00E72894">
      <w:pPr>
        <w:jc w:val="right"/>
      </w:pPr>
    </w:p>
    <w:tbl>
      <w:tblPr>
        <w:tblStyle w:val="TableGrid"/>
        <w:tblW w:w="0" w:type="auto"/>
        <w:tblLook w:val="04A0" w:firstRow="1" w:lastRow="0" w:firstColumn="1" w:lastColumn="0" w:noHBand="0" w:noVBand="1"/>
      </w:tblPr>
      <w:tblGrid>
        <w:gridCol w:w="2359"/>
        <w:gridCol w:w="5452"/>
        <w:gridCol w:w="1205"/>
      </w:tblGrid>
      <w:tr w:rsidR="00E72894" w14:paraId="21902D34" w14:textId="77777777" w:rsidTr="0002546C">
        <w:tc>
          <w:tcPr>
            <w:tcW w:w="9016" w:type="dxa"/>
            <w:gridSpan w:val="3"/>
          </w:tcPr>
          <w:p w14:paraId="1F050501" w14:textId="77777777" w:rsidR="00E72894" w:rsidRDefault="00E72894" w:rsidP="00E72894">
            <w:pPr>
              <w:jc w:val="center"/>
              <w:rPr>
                <w:b/>
              </w:rPr>
            </w:pPr>
            <w:r w:rsidRPr="008A1A53">
              <w:rPr>
                <w:b/>
              </w:rPr>
              <w:t>NISQ 16 Reasonable Adjustment Application and Information/Vocational Qualifications</w:t>
            </w:r>
          </w:p>
          <w:p w14:paraId="1E9DAA04" w14:textId="25ACFA30" w:rsidR="00B21FB4" w:rsidRPr="008A1A53" w:rsidRDefault="00B21FB4" w:rsidP="00E72894">
            <w:pPr>
              <w:jc w:val="center"/>
              <w:rPr>
                <w:b/>
              </w:rPr>
            </w:pPr>
            <w:r>
              <w:rPr>
                <w:b/>
              </w:rPr>
              <w:t>Complete using NISQ D11 Special Consideration and Reasonable Adjustment</w:t>
            </w:r>
          </w:p>
        </w:tc>
      </w:tr>
      <w:tr w:rsidR="00E72894" w14:paraId="17862214" w14:textId="77777777" w:rsidTr="001B52C0">
        <w:tc>
          <w:tcPr>
            <w:tcW w:w="2359" w:type="dxa"/>
          </w:tcPr>
          <w:p w14:paraId="3322DDE3" w14:textId="77777777" w:rsidR="00E72894" w:rsidRPr="008A1A53" w:rsidRDefault="00E72894" w:rsidP="00E72894">
            <w:pPr>
              <w:rPr>
                <w:b/>
              </w:rPr>
            </w:pPr>
            <w:r w:rsidRPr="008A1A53">
              <w:rPr>
                <w:b/>
              </w:rPr>
              <w:t xml:space="preserve">Section 1 </w:t>
            </w:r>
            <w:r w:rsidR="00B622AE" w:rsidRPr="008A1A53">
              <w:rPr>
                <w:b/>
              </w:rPr>
              <w:t xml:space="preserve">Details </w:t>
            </w:r>
          </w:p>
        </w:tc>
        <w:tc>
          <w:tcPr>
            <w:tcW w:w="5452" w:type="dxa"/>
          </w:tcPr>
          <w:p w14:paraId="5BA71791" w14:textId="77777777" w:rsidR="00E72894" w:rsidRDefault="00E72894" w:rsidP="00E72894">
            <w:r>
              <w:t>Details, Information, Explanation</w:t>
            </w:r>
          </w:p>
        </w:tc>
        <w:tc>
          <w:tcPr>
            <w:tcW w:w="1205" w:type="dxa"/>
          </w:tcPr>
          <w:p w14:paraId="3440082B" w14:textId="77777777" w:rsidR="00E72894" w:rsidRDefault="00E72894" w:rsidP="00E72894">
            <w:r>
              <w:t>Yes/No</w:t>
            </w:r>
          </w:p>
        </w:tc>
      </w:tr>
      <w:tr w:rsidR="00E72894" w14:paraId="4C9F19ED" w14:textId="77777777" w:rsidTr="001B52C0">
        <w:tc>
          <w:tcPr>
            <w:tcW w:w="2359" w:type="dxa"/>
          </w:tcPr>
          <w:p w14:paraId="0FD6258C" w14:textId="6A8B3831" w:rsidR="00E72894" w:rsidRDefault="007E0917" w:rsidP="00E72894">
            <w:r>
              <w:t xml:space="preserve">NISQ </w:t>
            </w:r>
            <w:r w:rsidR="00E72894">
              <w:t>Details</w:t>
            </w:r>
          </w:p>
        </w:tc>
        <w:tc>
          <w:tcPr>
            <w:tcW w:w="5452" w:type="dxa"/>
          </w:tcPr>
          <w:p w14:paraId="256B1BE4" w14:textId="2A64BB57" w:rsidR="00E72894" w:rsidRDefault="00E72894" w:rsidP="00E72894">
            <w:r>
              <w:t xml:space="preserve">Name </w:t>
            </w:r>
            <w:r w:rsidR="007E0917">
              <w:t>N.I. security Qualifications Ltd - NISQ</w:t>
            </w:r>
          </w:p>
          <w:p w14:paraId="11AA0ED3" w14:textId="77777777" w:rsidR="007E0917" w:rsidRDefault="007E0917" w:rsidP="00E72894">
            <w:r>
              <w:t>To the -</w:t>
            </w:r>
            <w:r w:rsidR="00F0268D">
              <w:t xml:space="preserve">Director </w:t>
            </w:r>
            <w:r w:rsidR="00B21FB4">
              <w:t>Qualification Division or</w:t>
            </w:r>
          </w:p>
          <w:p w14:paraId="1919BDDE" w14:textId="36215FBC" w:rsidR="00E72894" w:rsidRDefault="00B21FB4" w:rsidP="00E72894">
            <w:r>
              <w:t>Chief Compliance Officer</w:t>
            </w:r>
            <w:r w:rsidR="007E0917">
              <w:t xml:space="preserve"> -</w:t>
            </w:r>
          </w:p>
          <w:p w14:paraId="0B959E6E" w14:textId="7327209E" w:rsidR="00E72894" w:rsidRDefault="007E0917" w:rsidP="00E72894">
            <w:r>
              <w:t>A</w:t>
            </w:r>
            <w:r w:rsidR="00E72894">
              <w:t xml:space="preserve">ddress </w:t>
            </w:r>
            <w:r>
              <w:t>– 51 Ballygowan Road,</w:t>
            </w:r>
          </w:p>
          <w:p w14:paraId="3F1B4F66" w14:textId="5C057A16" w:rsidR="007E0917" w:rsidRDefault="007E0917" w:rsidP="00E72894">
            <w:r>
              <w:t xml:space="preserve">Comber </w:t>
            </w:r>
          </w:p>
          <w:p w14:paraId="59298E02" w14:textId="6F2AAA0B" w:rsidR="007E0917" w:rsidRDefault="007E0917" w:rsidP="00E72894">
            <w:r>
              <w:t>BT23 5 NP</w:t>
            </w:r>
          </w:p>
          <w:p w14:paraId="05EB9EF5" w14:textId="77777777" w:rsidR="00E72894" w:rsidRDefault="00E72894" w:rsidP="00E72894"/>
        </w:tc>
        <w:tc>
          <w:tcPr>
            <w:tcW w:w="1205" w:type="dxa"/>
          </w:tcPr>
          <w:p w14:paraId="3B3DCAF0" w14:textId="77777777" w:rsidR="00E72894" w:rsidRDefault="00E72894" w:rsidP="00E72894"/>
        </w:tc>
      </w:tr>
      <w:tr w:rsidR="00E72894" w14:paraId="30078D05" w14:textId="77777777" w:rsidTr="001B52C0">
        <w:tc>
          <w:tcPr>
            <w:tcW w:w="2359" w:type="dxa"/>
          </w:tcPr>
          <w:p w14:paraId="0EB2708B" w14:textId="72C54DAC" w:rsidR="00E72894" w:rsidRDefault="00B21FB4" w:rsidP="00E72894">
            <w:r>
              <w:t>Qualification</w:t>
            </w:r>
            <w:r w:rsidR="00E72894">
              <w:t xml:space="preserve"> Details</w:t>
            </w:r>
          </w:p>
        </w:tc>
        <w:tc>
          <w:tcPr>
            <w:tcW w:w="5452" w:type="dxa"/>
          </w:tcPr>
          <w:p w14:paraId="6E9436FF" w14:textId="72C57BB8" w:rsidR="00E72894" w:rsidRDefault="00E72894" w:rsidP="00E72894">
            <w:r>
              <w:t xml:space="preserve">Title of </w:t>
            </w:r>
            <w:r w:rsidR="00B21FB4">
              <w:t>Qualification</w:t>
            </w:r>
            <w:r>
              <w:t xml:space="preserve"> –</w:t>
            </w:r>
          </w:p>
          <w:p w14:paraId="470EBECF" w14:textId="2BE23F09" w:rsidR="00E72894" w:rsidRDefault="00B21FB4" w:rsidP="00E72894">
            <w:r>
              <w:t>Qualification</w:t>
            </w:r>
            <w:r w:rsidR="00E72894">
              <w:t xml:space="preserve"> Ref. number –</w:t>
            </w:r>
          </w:p>
          <w:p w14:paraId="1BBAF3E0" w14:textId="32008890" w:rsidR="00E72894" w:rsidRDefault="00E72894" w:rsidP="00E72894">
            <w:r>
              <w:t xml:space="preserve">Assessment </w:t>
            </w:r>
            <w:r w:rsidR="00B21FB4">
              <w:t xml:space="preserve">Cycle </w:t>
            </w:r>
            <w:r>
              <w:t>Date</w:t>
            </w:r>
            <w:r w:rsidR="00B21FB4">
              <w:t>s</w:t>
            </w:r>
            <w:r>
              <w:t xml:space="preserve"> –</w:t>
            </w:r>
            <w:r w:rsidR="00B21FB4">
              <w:t xml:space="preserve">            Start -               Finish –</w:t>
            </w:r>
          </w:p>
          <w:p w14:paraId="50F7B7C2" w14:textId="5F9108D5" w:rsidR="00B21FB4" w:rsidRDefault="00B21FB4" w:rsidP="00E72894">
            <w:r>
              <w:t xml:space="preserve">Specific Assessment Needing Adjustment - </w:t>
            </w:r>
          </w:p>
          <w:p w14:paraId="6E2AA8B2" w14:textId="4328D577" w:rsidR="00E72894" w:rsidRDefault="00B21FB4" w:rsidP="00E72894">
            <w:r>
              <w:t xml:space="preserve">NISQ Learner Continuous Assessment </w:t>
            </w:r>
            <w:r w:rsidR="00E72894">
              <w:t>Portfolio Requirements needing Adjustment -</w:t>
            </w:r>
          </w:p>
        </w:tc>
        <w:tc>
          <w:tcPr>
            <w:tcW w:w="1205" w:type="dxa"/>
          </w:tcPr>
          <w:p w14:paraId="7596AA13" w14:textId="77777777" w:rsidR="00E72894" w:rsidRDefault="00E72894" w:rsidP="00E72894"/>
        </w:tc>
      </w:tr>
      <w:tr w:rsidR="00E72894" w14:paraId="03FFF3A7" w14:textId="77777777" w:rsidTr="001B52C0">
        <w:tc>
          <w:tcPr>
            <w:tcW w:w="2359" w:type="dxa"/>
          </w:tcPr>
          <w:p w14:paraId="2CB9C4DF" w14:textId="1A69EC7F" w:rsidR="00E72894" w:rsidRDefault="00B21FB4" w:rsidP="00E72894">
            <w:r>
              <w:t xml:space="preserve">NISQ Approved </w:t>
            </w:r>
            <w:r w:rsidR="00E72894">
              <w:t>Centre Number</w:t>
            </w:r>
          </w:p>
        </w:tc>
        <w:tc>
          <w:tcPr>
            <w:tcW w:w="5452" w:type="dxa"/>
          </w:tcPr>
          <w:p w14:paraId="6DC2607F" w14:textId="77777777" w:rsidR="00E72894" w:rsidRDefault="00E72894" w:rsidP="00E72894">
            <w:r>
              <w:t xml:space="preserve">Number - </w:t>
            </w:r>
          </w:p>
        </w:tc>
        <w:tc>
          <w:tcPr>
            <w:tcW w:w="1205" w:type="dxa"/>
          </w:tcPr>
          <w:p w14:paraId="54FCDEE6" w14:textId="77777777" w:rsidR="00E72894" w:rsidRDefault="00E72894" w:rsidP="00E72894"/>
        </w:tc>
      </w:tr>
      <w:tr w:rsidR="00E72894" w14:paraId="32B4D7EE" w14:textId="77777777" w:rsidTr="001B52C0">
        <w:tc>
          <w:tcPr>
            <w:tcW w:w="2359" w:type="dxa"/>
          </w:tcPr>
          <w:p w14:paraId="0D32F5D5" w14:textId="6424CD59" w:rsidR="00E72894" w:rsidRDefault="00B21FB4" w:rsidP="00E72894">
            <w:r>
              <w:t xml:space="preserve">NISQ Approved </w:t>
            </w:r>
            <w:r w:rsidR="00B622AE">
              <w:t xml:space="preserve">Centre Name </w:t>
            </w:r>
          </w:p>
        </w:tc>
        <w:tc>
          <w:tcPr>
            <w:tcW w:w="5452" w:type="dxa"/>
          </w:tcPr>
          <w:p w14:paraId="770DADA3" w14:textId="77777777" w:rsidR="00E72894" w:rsidRDefault="00B622AE" w:rsidP="00E72894">
            <w:r>
              <w:t xml:space="preserve">Name – </w:t>
            </w:r>
          </w:p>
          <w:p w14:paraId="62CB4E6F" w14:textId="77777777" w:rsidR="00B622AE" w:rsidRDefault="00B622AE" w:rsidP="00E72894">
            <w:r>
              <w:t xml:space="preserve">Address - </w:t>
            </w:r>
          </w:p>
        </w:tc>
        <w:tc>
          <w:tcPr>
            <w:tcW w:w="1205" w:type="dxa"/>
          </w:tcPr>
          <w:p w14:paraId="2C8CDADB" w14:textId="77777777" w:rsidR="00E72894" w:rsidRDefault="00E72894" w:rsidP="00E72894"/>
        </w:tc>
      </w:tr>
      <w:tr w:rsidR="00E72894" w14:paraId="48787BAC" w14:textId="77777777" w:rsidTr="001B52C0">
        <w:tc>
          <w:tcPr>
            <w:tcW w:w="2359" w:type="dxa"/>
          </w:tcPr>
          <w:p w14:paraId="5ECC8D2A" w14:textId="77777777" w:rsidR="00E72894" w:rsidRDefault="00B622AE" w:rsidP="00E72894">
            <w:r>
              <w:t xml:space="preserve">Learner Registration Number or Learner Enrolment Number </w:t>
            </w:r>
          </w:p>
        </w:tc>
        <w:tc>
          <w:tcPr>
            <w:tcW w:w="5452" w:type="dxa"/>
          </w:tcPr>
          <w:p w14:paraId="68507DF0" w14:textId="77777777" w:rsidR="00E72894" w:rsidRDefault="00B622AE" w:rsidP="00E72894">
            <w:r>
              <w:t xml:space="preserve">Unique Learner Number – </w:t>
            </w:r>
          </w:p>
          <w:p w14:paraId="72FC5FCA" w14:textId="77777777" w:rsidR="00B622AE" w:rsidRDefault="00B622AE" w:rsidP="00E72894"/>
          <w:p w14:paraId="56F3AF09" w14:textId="77777777" w:rsidR="00B622AE" w:rsidRDefault="00B622AE" w:rsidP="00E72894">
            <w:r>
              <w:t xml:space="preserve">Enrolment Number - </w:t>
            </w:r>
          </w:p>
        </w:tc>
        <w:tc>
          <w:tcPr>
            <w:tcW w:w="1205" w:type="dxa"/>
          </w:tcPr>
          <w:p w14:paraId="5D8EC06A" w14:textId="77777777" w:rsidR="00E72894" w:rsidRDefault="00E72894" w:rsidP="00E72894"/>
        </w:tc>
      </w:tr>
      <w:tr w:rsidR="00E72894" w14:paraId="021E1565" w14:textId="77777777" w:rsidTr="001B52C0">
        <w:tc>
          <w:tcPr>
            <w:tcW w:w="2359" w:type="dxa"/>
          </w:tcPr>
          <w:p w14:paraId="512D552B" w14:textId="77777777" w:rsidR="00E72894" w:rsidRDefault="00B622AE" w:rsidP="00E72894">
            <w:r>
              <w:t>Learner Details</w:t>
            </w:r>
          </w:p>
        </w:tc>
        <w:tc>
          <w:tcPr>
            <w:tcW w:w="5452" w:type="dxa"/>
          </w:tcPr>
          <w:p w14:paraId="53292ABC" w14:textId="77777777" w:rsidR="00E72894" w:rsidRDefault="00B622AE" w:rsidP="00E72894">
            <w:r>
              <w:t>Name –</w:t>
            </w:r>
          </w:p>
          <w:p w14:paraId="6D595F83" w14:textId="77777777" w:rsidR="00B622AE" w:rsidRDefault="00B622AE" w:rsidP="00E72894">
            <w:r>
              <w:t xml:space="preserve">Address - </w:t>
            </w:r>
          </w:p>
        </w:tc>
        <w:tc>
          <w:tcPr>
            <w:tcW w:w="1205" w:type="dxa"/>
          </w:tcPr>
          <w:p w14:paraId="18B2100A" w14:textId="77777777" w:rsidR="00E72894" w:rsidRDefault="00E72894" w:rsidP="00E72894"/>
        </w:tc>
      </w:tr>
      <w:tr w:rsidR="00E72894" w14:paraId="5454DAE3" w14:textId="77777777" w:rsidTr="001B52C0">
        <w:tc>
          <w:tcPr>
            <w:tcW w:w="2359" w:type="dxa"/>
          </w:tcPr>
          <w:p w14:paraId="57277B4A" w14:textId="77777777" w:rsidR="00E72894" w:rsidRPr="008A1A53" w:rsidRDefault="00B622AE" w:rsidP="00E72894">
            <w:pPr>
              <w:rPr>
                <w:b/>
              </w:rPr>
            </w:pPr>
            <w:r w:rsidRPr="008A1A53">
              <w:rPr>
                <w:b/>
              </w:rPr>
              <w:lastRenderedPageBreak/>
              <w:t>Section 2 Adjustment Details</w:t>
            </w:r>
          </w:p>
        </w:tc>
        <w:tc>
          <w:tcPr>
            <w:tcW w:w="5452" w:type="dxa"/>
          </w:tcPr>
          <w:p w14:paraId="20B1972F" w14:textId="77777777" w:rsidR="00E72894" w:rsidRDefault="00E72894" w:rsidP="00E72894"/>
        </w:tc>
        <w:tc>
          <w:tcPr>
            <w:tcW w:w="1205" w:type="dxa"/>
          </w:tcPr>
          <w:p w14:paraId="5801B3A0" w14:textId="77777777" w:rsidR="00E72894" w:rsidRDefault="00E72894" w:rsidP="00E72894"/>
        </w:tc>
      </w:tr>
      <w:tr w:rsidR="00E72894" w14:paraId="19739C0F" w14:textId="77777777" w:rsidTr="001B52C0">
        <w:tc>
          <w:tcPr>
            <w:tcW w:w="2359" w:type="dxa"/>
          </w:tcPr>
          <w:p w14:paraId="565E2788" w14:textId="77777777" w:rsidR="00E72894" w:rsidRDefault="00B622AE" w:rsidP="00E72894">
            <w:r>
              <w:t>Reasons/Explanation</w:t>
            </w:r>
          </w:p>
        </w:tc>
        <w:tc>
          <w:tcPr>
            <w:tcW w:w="5452" w:type="dxa"/>
          </w:tcPr>
          <w:p w14:paraId="751F69EA" w14:textId="77777777" w:rsidR="00E72894" w:rsidRDefault="00B622AE" w:rsidP="00E72894">
            <w:r>
              <w:t>Explanation -</w:t>
            </w:r>
          </w:p>
        </w:tc>
        <w:tc>
          <w:tcPr>
            <w:tcW w:w="1205" w:type="dxa"/>
          </w:tcPr>
          <w:p w14:paraId="512F2A39" w14:textId="77777777" w:rsidR="00E72894" w:rsidRDefault="00E72894" w:rsidP="00E72894"/>
        </w:tc>
      </w:tr>
      <w:tr w:rsidR="00E72894" w14:paraId="2543F2BB" w14:textId="77777777" w:rsidTr="001B52C0">
        <w:tc>
          <w:tcPr>
            <w:tcW w:w="2359" w:type="dxa"/>
          </w:tcPr>
          <w:p w14:paraId="0336ACA4" w14:textId="77777777" w:rsidR="00E72894" w:rsidRDefault="00B622AE" w:rsidP="00E72894">
            <w:r>
              <w:t>Adjustment Requested</w:t>
            </w:r>
          </w:p>
        </w:tc>
        <w:tc>
          <w:tcPr>
            <w:tcW w:w="5452" w:type="dxa"/>
          </w:tcPr>
          <w:p w14:paraId="6389C41A" w14:textId="77777777" w:rsidR="00E72894" w:rsidRDefault="00B622AE" w:rsidP="00E72894">
            <w:r>
              <w:t xml:space="preserve">Request </w:t>
            </w:r>
            <w:r w:rsidR="001E3E70">
              <w:t>–</w:t>
            </w:r>
          </w:p>
          <w:p w14:paraId="3734FFF3" w14:textId="77777777" w:rsidR="001E3E70" w:rsidRDefault="001E3E70" w:rsidP="00E72894"/>
          <w:p w14:paraId="074BEA58" w14:textId="2AC12116" w:rsidR="001E3E70" w:rsidRDefault="001E3E70" w:rsidP="00E72894">
            <w:r>
              <w:t xml:space="preserve">Attach copies of </w:t>
            </w:r>
            <w:r w:rsidR="00B21FB4">
              <w:t xml:space="preserve">any </w:t>
            </w:r>
            <w:r>
              <w:t xml:space="preserve">medical evidence and/or a </w:t>
            </w:r>
            <w:r w:rsidR="00B21FB4">
              <w:t>NISQ Approved C</w:t>
            </w:r>
            <w:r>
              <w:t>entre statement to confirm the existence of a medical condition and/or psychological assessment to support the application.</w:t>
            </w:r>
          </w:p>
        </w:tc>
        <w:tc>
          <w:tcPr>
            <w:tcW w:w="1205" w:type="dxa"/>
          </w:tcPr>
          <w:p w14:paraId="0669D603" w14:textId="77777777" w:rsidR="00E72894" w:rsidRDefault="00E72894" w:rsidP="00E72894"/>
        </w:tc>
      </w:tr>
      <w:tr w:rsidR="00E72894" w14:paraId="2F375AC7" w14:textId="77777777" w:rsidTr="001B52C0">
        <w:tc>
          <w:tcPr>
            <w:tcW w:w="2359" w:type="dxa"/>
          </w:tcPr>
          <w:p w14:paraId="3AC3A7E8" w14:textId="77777777" w:rsidR="00E72894" w:rsidRDefault="001E3E70" w:rsidP="00E72894">
            <w:r>
              <w:t>Modules, Units numbers and Titles, Reasonable Adjustments Applies</w:t>
            </w:r>
          </w:p>
        </w:tc>
        <w:tc>
          <w:tcPr>
            <w:tcW w:w="5452" w:type="dxa"/>
          </w:tcPr>
          <w:p w14:paraId="7F0D3D0E" w14:textId="77777777" w:rsidR="00E72894" w:rsidRDefault="001E3E70" w:rsidP="00E72894">
            <w:r>
              <w:t xml:space="preserve">Module Titles – </w:t>
            </w:r>
          </w:p>
          <w:p w14:paraId="39EC30C1" w14:textId="77777777" w:rsidR="001E3E70" w:rsidRDefault="001E3E70" w:rsidP="00E72894">
            <w:r>
              <w:t>Module Number –</w:t>
            </w:r>
          </w:p>
          <w:p w14:paraId="351740E5" w14:textId="77777777" w:rsidR="001E3E70" w:rsidRDefault="001E3E70" w:rsidP="00E72894">
            <w:r>
              <w:t>Units Titles –</w:t>
            </w:r>
          </w:p>
          <w:p w14:paraId="5821506E" w14:textId="77777777" w:rsidR="001E3E70" w:rsidRDefault="001E3E70" w:rsidP="00E72894">
            <w:r>
              <w:t>Unit Numbers -</w:t>
            </w:r>
          </w:p>
          <w:p w14:paraId="1117717E" w14:textId="77777777" w:rsidR="001E3E70" w:rsidRDefault="001E3E70" w:rsidP="00E72894"/>
        </w:tc>
        <w:tc>
          <w:tcPr>
            <w:tcW w:w="1205" w:type="dxa"/>
          </w:tcPr>
          <w:p w14:paraId="4B69A6F8" w14:textId="77777777" w:rsidR="00E72894" w:rsidRDefault="00E72894" w:rsidP="00E72894"/>
        </w:tc>
      </w:tr>
      <w:tr w:rsidR="00214E98" w14:paraId="06B93463" w14:textId="77777777" w:rsidTr="001B52C0">
        <w:tc>
          <w:tcPr>
            <w:tcW w:w="2359" w:type="dxa"/>
          </w:tcPr>
          <w:p w14:paraId="7A20DA83" w14:textId="77777777" w:rsidR="00214E98" w:rsidRDefault="00214E98" w:rsidP="00E72894"/>
        </w:tc>
        <w:tc>
          <w:tcPr>
            <w:tcW w:w="5452" w:type="dxa"/>
          </w:tcPr>
          <w:p w14:paraId="08E092B7" w14:textId="3128A553" w:rsidR="00214E98" w:rsidRDefault="00214E98" w:rsidP="00214E98">
            <w:r>
              <w:t xml:space="preserve">NISQ fully supports the Equality Act 2010, Section 53, 19 and has implemented an open and transparent attitude to Diversity, </w:t>
            </w:r>
          </w:p>
          <w:p w14:paraId="2A6938CB" w14:textId="77777777" w:rsidR="00214E98" w:rsidRDefault="00214E98" w:rsidP="00214E98">
            <w:r>
              <w:t xml:space="preserve">NISQ is also determined to provide as few barriers to access as possible, but due to the </w:t>
            </w:r>
          </w:p>
          <w:p w14:paraId="21B49412" w14:textId="77777777" w:rsidR="00214E98" w:rsidRDefault="00214E98" w:rsidP="00214E98">
            <w:r>
              <w:t xml:space="preserve">complex and sometimes physically demanding aspects of Specialised Security and Security </w:t>
            </w:r>
          </w:p>
          <w:p w14:paraId="27A14597" w14:textId="77777777" w:rsidR="00214E98" w:rsidRDefault="00214E98" w:rsidP="00214E98">
            <w:r>
              <w:t xml:space="preserve">Practice Teaching and Training, some medical conditions may/will preclude learners from achieving </w:t>
            </w:r>
          </w:p>
          <w:p w14:paraId="70F77D88" w14:textId="77777777" w:rsidR="00214E98" w:rsidRDefault="00214E98" w:rsidP="00214E98">
            <w:r>
              <w:t>a full qualification in certain circumstances.</w:t>
            </w:r>
          </w:p>
          <w:p w14:paraId="6197B5C7" w14:textId="77777777" w:rsidR="00214E98" w:rsidRDefault="00214E98" w:rsidP="00214E98">
            <w:r>
              <w:t>To Assess this NISQ requires the following information;</w:t>
            </w:r>
          </w:p>
          <w:p w14:paraId="7C87AF9F" w14:textId="137B6D45" w:rsidR="00214E98" w:rsidRDefault="00214E98" w:rsidP="00214E98">
            <w:r>
              <w:t xml:space="preserve">Is the Learner less abled bodied, disabled, wheelchair Bound, pregnant, or suffer from any condition or learning difficulty that may normally preclude them from applying for or attending </w:t>
            </w:r>
          </w:p>
          <w:p w14:paraId="7C69622A" w14:textId="77777777" w:rsidR="00214E98" w:rsidRDefault="00214E98" w:rsidP="00214E98">
            <w:r>
              <w:t xml:space="preserve">such a Regulated Qualification? </w:t>
            </w:r>
          </w:p>
          <w:p w14:paraId="71E7EBC0" w14:textId="77777777" w:rsidR="00214E98" w:rsidRDefault="00214E98" w:rsidP="00214E98">
            <w:r>
              <w:t>Reasonable Adjustment</w:t>
            </w:r>
          </w:p>
          <w:p w14:paraId="694C26C0" w14:textId="77777777" w:rsidR="00214E98" w:rsidRDefault="00214E98" w:rsidP="00214E98">
            <w:r>
              <w:t xml:space="preserve">There may be aspects on certain NISQ Regulated Qualifications that require full physical and mental </w:t>
            </w:r>
          </w:p>
          <w:p w14:paraId="29777349" w14:textId="77777777" w:rsidR="00214E98" w:rsidRDefault="00214E98" w:rsidP="00214E98">
            <w:r>
              <w:t xml:space="preserve">ability and would not be suitable for a learner with a specific disability, however the Learner may </w:t>
            </w:r>
          </w:p>
          <w:p w14:paraId="668E81B2" w14:textId="77777777" w:rsidR="00214E98" w:rsidRDefault="00214E98" w:rsidP="00214E98">
            <w:r>
              <w:t xml:space="preserve">meet the criteria to apply for Reasonable Adjustment, – Discuss this with NISQ Qualifications </w:t>
            </w:r>
          </w:p>
          <w:p w14:paraId="04128320" w14:textId="77777777" w:rsidR="00214E98" w:rsidRDefault="00214E98" w:rsidP="00214E98">
            <w:r>
              <w:t xml:space="preserve">Division –Chief Compliance Officer. </w:t>
            </w:r>
          </w:p>
          <w:p w14:paraId="553D26F5" w14:textId="77777777" w:rsidR="00214E98" w:rsidRDefault="00214E98" w:rsidP="00214E98">
            <w:r>
              <w:t xml:space="preserve">Reasonable adjustments will not either provide an advantage or disadvantage to those </w:t>
            </w:r>
          </w:p>
          <w:p w14:paraId="260C7805" w14:textId="77777777" w:rsidR="00214E98" w:rsidRDefault="00214E98" w:rsidP="00214E98">
            <w:r>
              <w:t xml:space="preserve">Learners. NISQ Approved Centres support those with disabilities in all aspects and will </w:t>
            </w:r>
          </w:p>
          <w:p w14:paraId="47652AB0" w14:textId="77777777" w:rsidR="00214E98" w:rsidRDefault="00214E98" w:rsidP="00214E98">
            <w:r>
              <w:t xml:space="preserve">have suitably qualified staff to provide support throughout the Qualification Cycle for </w:t>
            </w:r>
          </w:p>
          <w:p w14:paraId="0F2377BC" w14:textId="77777777" w:rsidR="00214E98" w:rsidRDefault="00214E98" w:rsidP="00214E98">
            <w:r>
              <w:t xml:space="preserve">those persons requiring Reasonable Adjustment. Decisions on Reasonable Adjustment are made </w:t>
            </w:r>
          </w:p>
          <w:p w14:paraId="5EB519F2" w14:textId="77777777" w:rsidR="00214E98" w:rsidRDefault="00214E98" w:rsidP="00214E98">
            <w:r>
              <w:t xml:space="preserve">by an Approval Panel, Reasonable Adjustment is not always possible to practically implement </w:t>
            </w:r>
          </w:p>
          <w:p w14:paraId="64B15106" w14:textId="77777777" w:rsidR="00214E98" w:rsidRDefault="00214E98" w:rsidP="00214E98">
            <w:r>
              <w:t xml:space="preserve">due to health and safety constraints, and role specific specialised security or security </w:t>
            </w:r>
          </w:p>
          <w:p w14:paraId="618BFF3C" w14:textId="011BB5E7" w:rsidR="00214E98" w:rsidRDefault="00214E98" w:rsidP="00214E98">
            <w:r>
              <w:lastRenderedPageBreak/>
              <w:t xml:space="preserve">requirements. learner’s may not be able to receive effective Reasonable Adjustment for their disability or condition. NISQ may on certain circumstances suggest another Regulated Qualification </w:t>
            </w:r>
          </w:p>
          <w:p w14:paraId="52CB934A" w14:textId="77777777" w:rsidR="00214E98" w:rsidRDefault="00214E98" w:rsidP="00214E98">
            <w:r>
              <w:t xml:space="preserve">which is better suited to the learner’s physical and mental capabilities, where Reasonable </w:t>
            </w:r>
          </w:p>
          <w:p w14:paraId="596BD4FD" w14:textId="66DE51CD" w:rsidR="00214E98" w:rsidRDefault="00214E98" w:rsidP="00214E98">
            <w:r>
              <w:t>Adjustment can be successfully and effectively implemented.</w:t>
            </w:r>
          </w:p>
        </w:tc>
        <w:tc>
          <w:tcPr>
            <w:tcW w:w="1205" w:type="dxa"/>
          </w:tcPr>
          <w:p w14:paraId="18D6E26D" w14:textId="77777777" w:rsidR="00214E98" w:rsidRDefault="00214E98" w:rsidP="00E72894"/>
        </w:tc>
      </w:tr>
      <w:tr w:rsidR="00E72894" w14:paraId="46B41E80" w14:textId="77777777" w:rsidTr="001B52C0">
        <w:tc>
          <w:tcPr>
            <w:tcW w:w="2359" w:type="dxa"/>
          </w:tcPr>
          <w:p w14:paraId="79A2403B" w14:textId="77777777" w:rsidR="00E72894" w:rsidRPr="008A1A53" w:rsidRDefault="001E3E70" w:rsidP="00E72894">
            <w:pPr>
              <w:rPr>
                <w:b/>
              </w:rPr>
            </w:pPr>
            <w:r w:rsidRPr="008A1A53">
              <w:rPr>
                <w:b/>
              </w:rPr>
              <w:t>Section 3 Declaration</w:t>
            </w:r>
          </w:p>
        </w:tc>
        <w:tc>
          <w:tcPr>
            <w:tcW w:w="5452" w:type="dxa"/>
          </w:tcPr>
          <w:p w14:paraId="6087239F" w14:textId="45B7F476" w:rsidR="00E72894" w:rsidRPr="0063641E" w:rsidRDefault="001E3E70" w:rsidP="00E72894">
            <w:r w:rsidRPr="0063641E">
              <w:t xml:space="preserve">This application contains </w:t>
            </w:r>
            <w:r w:rsidR="00B95512" w:rsidRPr="0063641E">
              <w:t xml:space="preserve">accurate details of the adjustment applied for, evidence where required is attached or explained. The adjustment does not compromise the reliability, transparency, validity or outcome of the assessment or assessment process. This does not give the </w:t>
            </w:r>
            <w:r w:rsidR="00EB7A88" w:rsidRPr="0063641E">
              <w:t xml:space="preserve">learner an unfair advantage </w:t>
            </w:r>
            <w:r w:rsidR="00B21FB4" w:rsidRPr="0063641E">
              <w:t xml:space="preserve">over other </w:t>
            </w:r>
            <w:r w:rsidR="00EB7A88" w:rsidRPr="0063641E">
              <w:t xml:space="preserve">learners taking the same assessment or </w:t>
            </w:r>
            <w:r w:rsidR="00B21FB4" w:rsidRPr="0063641E">
              <w:t xml:space="preserve">going through the </w:t>
            </w:r>
            <w:r w:rsidR="00EB7A88" w:rsidRPr="0063641E">
              <w:t xml:space="preserve">assessment process. The adjustment is taken in line with NISQ </w:t>
            </w:r>
            <w:r w:rsidR="00B21FB4" w:rsidRPr="0063641E">
              <w:t xml:space="preserve">D11 </w:t>
            </w:r>
            <w:r w:rsidR="00EB7A88" w:rsidRPr="0063641E">
              <w:t>Polic</w:t>
            </w:r>
            <w:r w:rsidR="00B21FB4" w:rsidRPr="0063641E">
              <w:t>y</w:t>
            </w:r>
            <w:r w:rsidR="00EB7A88" w:rsidRPr="0063641E">
              <w:t xml:space="preserve">. The Learning Outcomes </w:t>
            </w:r>
            <w:r w:rsidR="006B7428" w:rsidRPr="0063641E">
              <w:t xml:space="preserve">and assessment outcomes will be demonstrated by the learner’s skill, understanding and knowledge of the </w:t>
            </w:r>
            <w:r w:rsidR="00B21FB4" w:rsidRPr="0063641E">
              <w:t>Qualification</w:t>
            </w:r>
            <w:r w:rsidR="006B7428" w:rsidRPr="0063641E">
              <w:t>.</w:t>
            </w:r>
          </w:p>
          <w:p w14:paraId="3D2A3433" w14:textId="77777777" w:rsidR="00B21FB4" w:rsidRPr="0063641E" w:rsidRDefault="00B21FB4" w:rsidP="00E72894"/>
          <w:p w14:paraId="7F9B3FA3" w14:textId="77777777" w:rsidR="007E0917" w:rsidRDefault="00B21FB4" w:rsidP="00E72894">
            <w:r>
              <w:t xml:space="preserve">NISQ Approved Centre – </w:t>
            </w:r>
          </w:p>
          <w:p w14:paraId="3B6E8545" w14:textId="2853A59E" w:rsidR="006B7428" w:rsidRDefault="0063641E" w:rsidP="00E72894">
            <w:r>
              <w:t>Director</w:t>
            </w:r>
            <w:r w:rsidR="00B21FB4">
              <w:t xml:space="preserve"> </w:t>
            </w:r>
            <w:r w:rsidR="007E0917">
              <w:t>-</w:t>
            </w:r>
          </w:p>
          <w:p w14:paraId="19FB813C" w14:textId="77777777" w:rsidR="006B7428" w:rsidRDefault="006B7428" w:rsidP="00E72894">
            <w:r>
              <w:t>Signature –                                                     Date –</w:t>
            </w:r>
          </w:p>
          <w:p w14:paraId="6099941E" w14:textId="77777777" w:rsidR="006B7428" w:rsidRDefault="006B7428" w:rsidP="00E72894">
            <w:r>
              <w:t xml:space="preserve">Print Name -                                                  </w:t>
            </w:r>
          </w:p>
          <w:p w14:paraId="7ED41B03" w14:textId="77777777" w:rsidR="006B7428" w:rsidRDefault="006B7428" w:rsidP="00E72894">
            <w:r>
              <w:t>Title -</w:t>
            </w:r>
          </w:p>
          <w:p w14:paraId="2A1D334F" w14:textId="77777777" w:rsidR="006B7428" w:rsidRDefault="006B7428" w:rsidP="00E72894"/>
        </w:tc>
        <w:tc>
          <w:tcPr>
            <w:tcW w:w="1205" w:type="dxa"/>
          </w:tcPr>
          <w:p w14:paraId="3D4622DC" w14:textId="77777777" w:rsidR="00E72894" w:rsidRDefault="00E72894" w:rsidP="00E72894"/>
        </w:tc>
      </w:tr>
      <w:tr w:rsidR="001B52C0" w14:paraId="63B29595" w14:textId="77777777" w:rsidTr="00E45FFA">
        <w:tc>
          <w:tcPr>
            <w:tcW w:w="9016" w:type="dxa"/>
            <w:gridSpan w:val="3"/>
          </w:tcPr>
          <w:p w14:paraId="67D7FA84" w14:textId="4ADE350E" w:rsidR="001B52C0" w:rsidRDefault="001B52C0" w:rsidP="00E72894">
            <w:r>
              <w:t>Please allow up to 14 working days for Outcome</w:t>
            </w:r>
          </w:p>
        </w:tc>
      </w:tr>
      <w:tr w:rsidR="00E72894" w14:paraId="2BCE06CE" w14:textId="77777777" w:rsidTr="001B52C0">
        <w:tc>
          <w:tcPr>
            <w:tcW w:w="2359" w:type="dxa"/>
          </w:tcPr>
          <w:p w14:paraId="55216A17" w14:textId="1F1E1D7C" w:rsidR="00E72894" w:rsidRDefault="002563BD" w:rsidP="00E72894">
            <w:pPr>
              <w:rPr>
                <w:b/>
              </w:rPr>
            </w:pPr>
            <w:r>
              <w:rPr>
                <w:b/>
              </w:rPr>
              <w:t xml:space="preserve">Section 4 The Approval Panel </w:t>
            </w:r>
            <w:bookmarkStart w:id="0" w:name="_GoBack"/>
            <w:bookmarkEnd w:id="0"/>
          </w:p>
          <w:p w14:paraId="5E33480D" w14:textId="705FF828" w:rsidR="002563BD" w:rsidRDefault="002563BD" w:rsidP="00E72894">
            <w:pPr>
              <w:rPr>
                <w:b/>
              </w:rPr>
            </w:pPr>
          </w:p>
          <w:p w14:paraId="2CC003C7" w14:textId="5D5DBCD6" w:rsidR="002563BD" w:rsidRDefault="002563BD" w:rsidP="00E72894">
            <w:pPr>
              <w:rPr>
                <w:b/>
              </w:rPr>
            </w:pPr>
          </w:p>
          <w:p w14:paraId="70224BE2" w14:textId="6EC61DC0" w:rsidR="002563BD" w:rsidRDefault="002563BD" w:rsidP="00E72894">
            <w:pPr>
              <w:rPr>
                <w:b/>
              </w:rPr>
            </w:pPr>
          </w:p>
          <w:p w14:paraId="41704A4F" w14:textId="0BDF8069" w:rsidR="002563BD" w:rsidRDefault="002563BD" w:rsidP="00E72894">
            <w:pPr>
              <w:rPr>
                <w:b/>
              </w:rPr>
            </w:pPr>
          </w:p>
          <w:p w14:paraId="184DE91B" w14:textId="7FF463AE" w:rsidR="002563BD" w:rsidRDefault="002563BD" w:rsidP="00E72894">
            <w:pPr>
              <w:rPr>
                <w:b/>
              </w:rPr>
            </w:pPr>
          </w:p>
          <w:p w14:paraId="5DA11739" w14:textId="0804E038" w:rsidR="002563BD" w:rsidRDefault="002563BD" w:rsidP="00E72894">
            <w:pPr>
              <w:rPr>
                <w:b/>
              </w:rPr>
            </w:pPr>
          </w:p>
          <w:p w14:paraId="3E1A7725" w14:textId="1859A621" w:rsidR="002563BD" w:rsidRDefault="002563BD" w:rsidP="00E72894">
            <w:pPr>
              <w:rPr>
                <w:b/>
              </w:rPr>
            </w:pPr>
          </w:p>
          <w:p w14:paraId="4246F1BE" w14:textId="36B4D0E1" w:rsidR="002563BD" w:rsidRDefault="002563BD" w:rsidP="00E72894">
            <w:pPr>
              <w:rPr>
                <w:b/>
              </w:rPr>
            </w:pPr>
          </w:p>
          <w:p w14:paraId="51BE0CD2" w14:textId="02FEC044" w:rsidR="002563BD" w:rsidRDefault="002563BD" w:rsidP="00E72894">
            <w:pPr>
              <w:rPr>
                <w:b/>
              </w:rPr>
            </w:pPr>
          </w:p>
          <w:p w14:paraId="02229A5E" w14:textId="0488BB55" w:rsidR="002563BD" w:rsidRDefault="002563BD" w:rsidP="00E72894">
            <w:pPr>
              <w:rPr>
                <w:b/>
              </w:rPr>
            </w:pPr>
          </w:p>
          <w:p w14:paraId="0C875251" w14:textId="3E6DA03E" w:rsidR="002563BD" w:rsidRDefault="002563BD" w:rsidP="00E72894">
            <w:pPr>
              <w:rPr>
                <w:b/>
              </w:rPr>
            </w:pPr>
          </w:p>
          <w:p w14:paraId="0EA93ABD" w14:textId="0D3F161E" w:rsidR="002563BD" w:rsidRDefault="002563BD" w:rsidP="00E72894">
            <w:pPr>
              <w:rPr>
                <w:b/>
              </w:rPr>
            </w:pPr>
          </w:p>
          <w:p w14:paraId="48402BE1" w14:textId="60E02C4E" w:rsidR="002563BD" w:rsidRDefault="002563BD" w:rsidP="00E72894">
            <w:pPr>
              <w:rPr>
                <w:b/>
              </w:rPr>
            </w:pPr>
          </w:p>
          <w:p w14:paraId="131096D0" w14:textId="7E76614E" w:rsidR="002563BD" w:rsidRDefault="002563BD" w:rsidP="00E72894">
            <w:pPr>
              <w:rPr>
                <w:b/>
              </w:rPr>
            </w:pPr>
          </w:p>
          <w:p w14:paraId="1E7FF2EF" w14:textId="2D978F92" w:rsidR="002563BD" w:rsidRDefault="002563BD" w:rsidP="00E72894">
            <w:pPr>
              <w:rPr>
                <w:b/>
              </w:rPr>
            </w:pPr>
          </w:p>
          <w:p w14:paraId="2A6B983A" w14:textId="7CBBA7C8" w:rsidR="002563BD" w:rsidRDefault="002563BD" w:rsidP="00E72894">
            <w:pPr>
              <w:rPr>
                <w:b/>
              </w:rPr>
            </w:pPr>
          </w:p>
          <w:p w14:paraId="1245018C" w14:textId="686527E6" w:rsidR="002563BD" w:rsidRDefault="002563BD" w:rsidP="00E72894">
            <w:pPr>
              <w:rPr>
                <w:b/>
              </w:rPr>
            </w:pPr>
            <w:r>
              <w:rPr>
                <w:b/>
              </w:rPr>
              <w:t>Appeals</w:t>
            </w:r>
          </w:p>
          <w:p w14:paraId="7DEFE2F2" w14:textId="77777777" w:rsidR="00200330" w:rsidRDefault="00200330" w:rsidP="00E72894">
            <w:pPr>
              <w:rPr>
                <w:b/>
              </w:rPr>
            </w:pPr>
          </w:p>
          <w:p w14:paraId="76E26202" w14:textId="77777777" w:rsidR="00200330" w:rsidRDefault="00200330" w:rsidP="00E72894">
            <w:pPr>
              <w:rPr>
                <w:b/>
              </w:rPr>
            </w:pPr>
          </w:p>
          <w:p w14:paraId="65D6EFEB" w14:textId="77777777" w:rsidR="00200330" w:rsidRDefault="00200330" w:rsidP="00E72894">
            <w:pPr>
              <w:rPr>
                <w:b/>
              </w:rPr>
            </w:pPr>
          </w:p>
          <w:p w14:paraId="01BEFAB1" w14:textId="77777777" w:rsidR="00200330" w:rsidRDefault="00200330" w:rsidP="00E72894">
            <w:pPr>
              <w:rPr>
                <w:b/>
              </w:rPr>
            </w:pPr>
          </w:p>
          <w:p w14:paraId="16A4167E" w14:textId="77777777" w:rsidR="00200330" w:rsidRDefault="00200330" w:rsidP="00E72894">
            <w:pPr>
              <w:rPr>
                <w:b/>
              </w:rPr>
            </w:pPr>
          </w:p>
          <w:p w14:paraId="2FFFB07A" w14:textId="77777777" w:rsidR="00200330" w:rsidRDefault="00200330" w:rsidP="00E72894">
            <w:pPr>
              <w:rPr>
                <w:b/>
              </w:rPr>
            </w:pPr>
          </w:p>
          <w:p w14:paraId="65E81B9A" w14:textId="77777777" w:rsidR="00200330" w:rsidRDefault="00200330" w:rsidP="00E72894">
            <w:pPr>
              <w:rPr>
                <w:b/>
              </w:rPr>
            </w:pPr>
          </w:p>
          <w:p w14:paraId="1477C34E" w14:textId="77777777" w:rsidR="00200330" w:rsidRPr="008A1A53" w:rsidRDefault="00200330" w:rsidP="00E72894">
            <w:pPr>
              <w:rPr>
                <w:b/>
              </w:rPr>
            </w:pPr>
          </w:p>
        </w:tc>
        <w:tc>
          <w:tcPr>
            <w:tcW w:w="5452" w:type="dxa"/>
          </w:tcPr>
          <w:p w14:paraId="518C5170" w14:textId="0F1F0111" w:rsidR="00E72894" w:rsidRDefault="002563BD" w:rsidP="00E72894">
            <w:r>
              <w:lastRenderedPageBreak/>
              <w:t>Result - No Reasonable Adjustment can be applied at this point – further evidence is required for deliberation -</w:t>
            </w:r>
          </w:p>
          <w:p w14:paraId="26F450F2" w14:textId="05D229A3" w:rsidR="002563BD" w:rsidRDefault="002563BD" w:rsidP="00E72894"/>
          <w:p w14:paraId="6A93FDE5" w14:textId="4A80366C" w:rsidR="002563BD" w:rsidRDefault="002563BD" w:rsidP="00E72894"/>
          <w:p w14:paraId="33B4AD38" w14:textId="35660AF8" w:rsidR="002563BD" w:rsidRDefault="002563BD" w:rsidP="00E72894"/>
          <w:p w14:paraId="26BFACD4" w14:textId="77777777" w:rsidR="002563BD" w:rsidRDefault="002563BD" w:rsidP="00E72894"/>
          <w:p w14:paraId="0F1D282E" w14:textId="07F09648" w:rsidR="008A1A53" w:rsidRDefault="002563BD" w:rsidP="00E72894">
            <w:r>
              <w:t>Result - Yes Reasonable Adjustment to be implemented -</w:t>
            </w:r>
          </w:p>
          <w:p w14:paraId="6C9B352A" w14:textId="3378A62B" w:rsidR="008A1A53" w:rsidRDefault="008A1A53" w:rsidP="00E72894"/>
          <w:p w14:paraId="368B93EB" w14:textId="23B65F1C" w:rsidR="002563BD" w:rsidRDefault="002563BD" w:rsidP="00E72894"/>
          <w:p w14:paraId="266B8C9D" w14:textId="06FE3BE7" w:rsidR="002563BD" w:rsidRDefault="002563BD" w:rsidP="00E72894"/>
          <w:p w14:paraId="624CD0BA" w14:textId="37F0582C" w:rsidR="002563BD" w:rsidRDefault="002563BD" w:rsidP="00E72894"/>
          <w:p w14:paraId="1A735957" w14:textId="563731C6" w:rsidR="002563BD" w:rsidRDefault="002563BD" w:rsidP="00E72894"/>
          <w:p w14:paraId="61C883C7" w14:textId="448D89EF" w:rsidR="002563BD" w:rsidRDefault="002563BD" w:rsidP="00E72894">
            <w:r>
              <w:t xml:space="preserve">Result – The Applicant does not meet the criteria for Reasonable Adjustment - </w:t>
            </w:r>
          </w:p>
          <w:p w14:paraId="19537EE7" w14:textId="77777777" w:rsidR="008A1A53" w:rsidRDefault="008A1A53" w:rsidP="00E72894"/>
          <w:p w14:paraId="33381419" w14:textId="77777777" w:rsidR="008A1A53" w:rsidRDefault="008A1A53" w:rsidP="00E72894"/>
          <w:p w14:paraId="0967D50F" w14:textId="77777777" w:rsidR="008A1A53" w:rsidRDefault="008A1A53" w:rsidP="00E72894"/>
          <w:p w14:paraId="6F6548FC" w14:textId="77777777" w:rsidR="008A1A53" w:rsidRDefault="008A1A53" w:rsidP="00E72894"/>
          <w:p w14:paraId="1BADCFA7" w14:textId="4B79AC36" w:rsidR="008A1A53" w:rsidRDefault="002563BD" w:rsidP="00E72894">
            <w:r>
              <w:t xml:space="preserve">The Learner or users of qualifications may Appeal the decision of the </w:t>
            </w:r>
            <w:r w:rsidR="00E85FEE">
              <w:t>NISQ Governing Body</w:t>
            </w:r>
            <w:r>
              <w:t xml:space="preserve"> – there is a Fee for this process – See NISQ 06 The Fees Explained </w:t>
            </w:r>
          </w:p>
          <w:p w14:paraId="5E9CA8B6" w14:textId="3B012928" w:rsidR="002563BD" w:rsidRDefault="002563BD" w:rsidP="00E72894"/>
          <w:p w14:paraId="3694B19C" w14:textId="69262BBE" w:rsidR="002563BD" w:rsidRDefault="002563BD" w:rsidP="00E72894">
            <w:r>
              <w:t>NISQ 20 Appeals, Appeals Against Assessment Stage 1 Application Form</w:t>
            </w:r>
          </w:p>
          <w:p w14:paraId="7869039E" w14:textId="2514F950" w:rsidR="002563BD" w:rsidRDefault="002563BD" w:rsidP="00E72894">
            <w:r>
              <w:lastRenderedPageBreak/>
              <w:t>NISQ 20b Appeals, Appeals Against Assessment Stage 2 Application Form</w:t>
            </w:r>
          </w:p>
          <w:p w14:paraId="760406EB" w14:textId="0EF46F6C" w:rsidR="008A1A53" w:rsidRDefault="00214E98" w:rsidP="00E72894">
            <w:r>
              <w:t xml:space="preserve">Downloadable from </w:t>
            </w:r>
            <w:hyperlink r:id="rId7" w:history="1">
              <w:r w:rsidRPr="009B5ECF">
                <w:rPr>
                  <w:rStyle w:val="Hyperlink"/>
                </w:rPr>
                <w:t>www.nisq.uk</w:t>
              </w:r>
            </w:hyperlink>
            <w:r>
              <w:t xml:space="preserve"> </w:t>
            </w:r>
          </w:p>
          <w:p w14:paraId="138A49A1" w14:textId="77777777" w:rsidR="008A1A53" w:rsidRDefault="008A1A53" w:rsidP="00E72894"/>
          <w:p w14:paraId="3B375A77" w14:textId="77777777" w:rsidR="008A1A53" w:rsidRDefault="008A1A53" w:rsidP="00E72894"/>
          <w:p w14:paraId="654E347A" w14:textId="77777777" w:rsidR="008A1A53" w:rsidRDefault="008A1A53" w:rsidP="00E72894"/>
        </w:tc>
        <w:tc>
          <w:tcPr>
            <w:tcW w:w="1205" w:type="dxa"/>
          </w:tcPr>
          <w:p w14:paraId="044024BD" w14:textId="77777777" w:rsidR="00E72894" w:rsidRDefault="00E72894" w:rsidP="00E72894"/>
        </w:tc>
      </w:tr>
    </w:tbl>
    <w:p w14:paraId="19E7E3C1" w14:textId="2A1416D4" w:rsidR="00E72894" w:rsidRPr="00E72894" w:rsidRDefault="00A56C6E" w:rsidP="00E72894">
      <w:r>
        <w:t xml:space="preserve">                                                                                            No-Charge</w:t>
      </w:r>
    </w:p>
    <w:sectPr w:rsidR="00E72894" w:rsidRPr="00E72894" w:rsidSect="00200330">
      <w:headerReference w:type="default" r:id="rId8"/>
      <w:footerReference w:type="default" r:id="rId9"/>
      <w:pgSz w:w="11906" w:h="16838"/>
      <w:pgMar w:top="1440" w:right="1440" w:bottom="1440" w:left="1440" w:header="708" w:footer="708" w:gutter="0"/>
      <w:pgBorders w:offsetFrom="page">
        <w:top w:val="single" w:sz="12" w:space="24" w:color="FFD966" w:themeColor="accent4" w:themeTint="99"/>
        <w:left w:val="single" w:sz="12" w:space="24" w:color="FFD966" w:themeColor="accent4" w:themeTint="99"/>
        <w:bottom w:val="single" w:sz="12" w:space="24" w:color="FFD966" w:themeColor="accent4" w:themeTint="99"/>
        <w:right w:val="single" w:sz="12"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3BC7" w14:textId="77777777" w:rsidR="00DE1244" w:rsidRDefault="00DE1244" w:rsidP="00200330">
      <w:pPr>
        <w:spacing w:after="0" w:line="240" w:lineRule="auto"/>
      </w:pPr>
      <w:r>
        <w:separator/>
      </w:r>
    </w:p>
  </w:endnote>
  <w:endnote w:type="continuationSeparator" w:id="0">
    <w:p w14:paraId="2C8725E2" w14:textId="77777777" w:rsidR="00DE1244" w:rsidRDefault="00DE1244" w:rsidP="0020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927353"/>
      <w:docPartObj>
        <w:docPartGallery w:val="Page Numbers (Bottom of Page)"/>
        <w:docPartUnique/>
      </w:docPartObj>
    </w:sdtPr>
    <w:sdtEndPr>
      <w:rPr>
        <w:noProof/>
      </w:rPr>
    </w:sdtEndPr>
    <w:sdtContent>
      <w:p w14:paraId="79D6E776" w14:textId="77777777" w:rsidR="00200330" w:rsidRDefault="00200330">
        <w:pPr>
          <w:pStyle w:val="Footer"/>
          <w:jc w:val="right"/>
        </w:pPr>
        <w:r>
          <w:fldChar w:fldCharType="begin"/>
        </w:r>
        <w:r>
          <w:instrText xml:space="preserve"> PAGE   \* MERGEFORMAT </w:instrText>
        </w:r>
        <w:r>
          <w:fldChar w:fldCharType="separate"/>
        </w:r>
        <w:r w:rsidR="00D65423">
          <w:rPr>
            <w:noProof/>
          </w:rPr>
          <w:t>2</w:t>
        </w:r>
        <w:r>
          <w:rPr>
            <w:noProof/>
          </w:rPr>
          <w:fldChar w:fldCharType="end"/>
        </w:r>
      </w:p>
    </w:sdtContent>
  </w:sdt>
  <w:p w14:paraId="447A8E02" w14:textId="18EC98EE" w:rsidR="00200330" w:rsidRPr="00200330" w:rsidRDefault="00200330">
    <w:pPr>
      <w:pStyle w:val="Footer"/>
      <w:rPr>
        <w:i/>
        <w:sz w:val="18"/>
        <w:szCs w:val="18"/>
      </w:rPr>
    </w:pPr>
    <w:r w:rsidRPr="00200330">
      <w:rPr>
        <w:rFonts w:cstheme="minorHAnsi"/>
        <w:i/>
        <w:sz w:val="18"/>
        <w:szCs w:val="18"/>
      </w:rPr>
      <w:t>©</w:t>
    </w:r>
    <w:r w:rsidRPr="00200330">
      <w:rPr>
        <w:i/>
        <w:sz w:val="18"/>
        <w:szCs w:val="18"/>
      </w:rPr>
      <w:t>NISQ201</w:t>
    </w:r>
    <w:r w:rsidR="00B21FB4">
      <w:rPr>
        <w:i/>
        <w:sz w:val="18"/>
        <w:szCs w:val="18"/>
      </w:rPr>
      <w:t>8</w:t>
    </w:r>
    <w:r w:rsidRPr="00200330">
      <w:rPr>
        <w:i/>
        <w:sz w:val="18"/>
        <w:szCs w:val="18"/>
      </w:rPr>
      <w:t>allrightsreserved                              Reviewed March 201</w:t>
    </w:r>
    <w:r w:rsidR="00B21FB4">
      <w:rPr>
        <w: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65D22" w14:textId="77777777" w:rsidR="00DE1244" w:rsidRDefault="00DE1244" w:rsidP="00200330">
      <w:pPr>
        <w:spacing w:after="0" w:line="240" w:lineRule="auto"/>
      </w:pPr>
      <w:r>
        <w:separator/>
      </w:r>
    </w:p>
  </w:footnote>
  <w:footnote w:type="continuationSeparator" w:id="0">
    <w:p w14:paraId="08530E21" w14:textId="77777777" w:rsidR="00DE1244" w:rsidRDefault="00DE1244" w:rsidP="00200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D2BB" w14:textId="392AA816" w:rsidR="00200330" w:rsidRDefault="00200330" w:rsidP="00200330">
    <w:pPr>
      <w:pStyle w:val="Header"/>
      <w:jc w:val="center"/>
    </w:pPr>
    <w:r>
      <w:t>NISQ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94"/>
    <w:rsid w:val="001B52C0"/>
    <w:rsid w:val="001E3E70"/>
    <w:rsid w:val="00200330"/>
    <w:rsid w:val="00214E98"/>
    <w:rsid w:val="002563BD"/>
    <w:rsid w:val="002A37D3"/>
    <w:rsid w:val="002A66B7"/>
    <w:rsid w:val="002B47EA"/>
    <w:rsid w:val="00301228"/>
    <w:rsid w:val="004526A4"/>
    <w:rsid w:val="0063641E"/>
    <w:rsid w:val="006B7428"/>
    <w:rsid w:val="007E0917"/>
    <w:rsid w:val="00802163"/>
    <w:rsid w:val="008A1A53"/>
    <w:rsid w:val="00932301"/>
    <w:rsid w:val="009F5A20"/>
    <w:rsid w:val="00A01EC6"/>
    <w:rsid w:val="00A56C6E"/>
    <w:rsid w:val="00AB4575"/>
    <w:rsid w:val="00B21FB4"/>
    <w:rsid w:val="00B622AE"/>
    <w:rsid w:val="00B95512"/>
    <w:rsid w:val="00C6538B"/>
    <w:rsid w:val="00D65423"/>
    <w:rsid w:val="00DD52A4"/>
    <w:rsid w:val="00DE1244"/>
    <w:rsid w:val="00E1160A"/>
    <w:rsid w:val="00E72894"/>
    <w:rsid w:val="00E85FEE"/>
    <w:rsid w:val="00EB7A88"/>
    <w:rsid w:val="00ED1BA3"/>
    <w:rsid w:val="00F0268D"/>
    <w:rsid w:val="00F30F40"/>
    <w:rsid w:val="00FE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1E92"/>
  <w15:chartTrackingRefBased/>
  <w15:docId w15:val="{F7CC452C-D117-4E5B-86EC-F53F472C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330"/>
  </w:style>
  <w:style w:type="paragraph" w:styleId="Footer">
    <w:name w:val="footer"/>
    <w:basedOn w:val="Normal"/>
    <w:link w:val="FooterChar"/>
    <w:uiPriority w:val="99"/>
    <w:unhideWhenUsed/>
    <w:rsid w:val="00200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330"/>
  </w:style>
  <w:style w:type="character" w:styleId="Hyperlink">
    <w:name w:val="Hyperlink"/>
    <w:basedOn w:val="DefaultParagraphFont"/>
    <w:uiPriority w:val="99"/>
    <w:unhideWhenUsed/>
    <w:rsid w:val="00214E98"/>
    <w:rPr>
      <w:color w:val="0563C1" w:themeColor="hyperlink"/>
      <w:u w:val="single"/>
    </w:rPr>
  </w:style>
  <w:style w:type="character" w:styleId="UnresolvedMention">
    <w:name w:val="Unresolved Mention"/>
    <w:basedOn w:val="DefaultParagraphFont"/>
    <w:uiPriority w:val="99"/>
    <w:semiHidden/>
    <w:unhideWhenUsed/>
    <w:rsid w:val="0021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sq.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2018-10-30T15:59:00Z</dcterms:created>
  <dcterms:modified xsi:type="dcterms:W3CDTF">2018-11-06T15:40:00Z</dcterms:modified>
</cp:coreProperties>
</file>